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C" w:rsidRPr="00C64894" w:rsidRDefault="008D37BC" w:rsidP="008D37BC">
      <w:pPr>
        <w:shd w:val="clear" w:color="auto" w:fill="FFFFFF"/>
        <w:spacing w:line="255" w:lineRule="atLeast"/>
        <w:textAlignment w:val="center"/>
        <w:outlineLvl w:val="2"/>
        <w:rPr>
          <w:rFonts w:ascii="Arial" w:eastAsia="Times New Roman" w:hAnsi="Arial" w:cs="Arial"/>
          <w:b/>
          <w:bCs/>
          <w:color w:val="0B4DA1"/>
          <w:sz w:val="23"/>
          <w:szCs w:val="23"/>
          <w:lang w:val="en-GB" w:eastAsia="sk-SK"/>
        </w:rPr>
      </w:pPr>
      <w:r w:rsidRPr="00C64894">
        <w:rPr>
          <w:rFonts w:ascii="Arial" w:eastAsia="Times New Roman" w:hAnsi="Arial" w:cs="Arial"/>
          <w:b/>
          <w:bCs/>
          <w:color w:val="0B4DA1"/>
          <w:lang w:val="en-GB" w:eastAsia="sk-SK"/>
        </w:rPr>
        <w:t xml:space="preserve">Ex-post CBA </w:t>
      </w:r>
      <w:bookmarkStart w:id="0" w:name="_Hlk14712267"/>
      <w:r w:rsidR="002E5F22">
        <w:rPr>
          <w:rFonts w:ascii="Arial" w:eastAsia="Times New Roman" w:hAnsi="Arial" w:cs="Arial"/>
          <w:b/>
          <w:bCs/>
          <w:color w:val="0B4DA1"/>
          <w:lang w:eastAsia="sk-SK"/>
        </w:rPr>
        <w:t>D1 Mengusovce – Jánovce</w:t>
      </w:r>
      <w:bookmarkEnd w:id="0"/>
      <w:r w:rsidRPr="00C64894">
        <w:rPr>
          <w:rFonts w:ascii="Arial" w:eastAsia="Times New Roman" w:hAnsi="Arial" w:cs="Arial"/>
          <w:b/>
          <w:bCs/>
          <w:color w:val="0B4DA1"/>
          <w:lang w:val="en-GB" w:eastAsia="sk-SK"/>
        </w:rPr>
        <w:br/>
      </w:r>
    </w:p>
    <w:p w:rsidR="008D37BC" w:rsidRPr="00C64894" w:rsidRDefault="008D37BC"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w:t>
      </w:r>
    </w:p>
    <w:p w:rsidR="008D37BC" w:rsidRPr="00C64894" w:rsidRDefault="00153212" w:rsidP="000D0C94">
      <w:pPr>
        <w:shd w:val="clear" w:color="auto" w:fill="FFFFFF"/>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Grant Agreement for the </w:t>
      </w:r>
      <w:r w:rsidR="007C1825">
        <w:rPr>
          <w:rFonts w:ascii="Arial" w:eastAsia="Times New Roman" w:hAnsi="Arial" w:cs="Arial"/>
          <w:color w:val="525252"/>
          <w:lang w:val="en-GB" w:eastAsia="sk-SK"/>
        </w:rPr>
        <w:t>highway</w:t>
      </w:r>
      <w:r w:rsidRPr="00C64894">
        <w:rPr>
          <w:rFonts w:ascii="Arial" w:eastAsia="Times New Roman" w:hAnsi="Arial" w:cs="Arial"/>
          <w:color w:val="525252"/>
          <w:lang w:val="en-GB" w:eastAsia="sk-SK"/>
        </w:rPr>
        <w:t xml:space="preserve"> project</w:t>
      </w:r>
      <w:r w:rsidR="008D37BC" w:rsidRPr="00C64894">
        <w:rPr>
          <w:rFonts w:ascii="Arial" w:eastAsia="Times New Roman" w:hAnsi="Arial" w:cs="Arial"/>
          <w:color w:val="525252"/>
          <w:lang w:val="en-GB" w:eastAsia="sk-SK"/>
        </w:rPr>
        <w:t xml:space="preserve"> „</w:t>
      </w:r>
      <w:r w:rsidR="002E5F22" w:rsidRPr="002E5F22">
        <w:rPr>
          <w:rFonts w:ascii="Arial" w:eastAsia="Times New Roman" w:hAnsi="Arial" w:cs="Arial"/>
          <w:color w:val="525252"/>
          <w:lang w:val="en-GB" w:eastAsia="sk-SK"/>
        </w:rPr>
        <w:t xml:space="preserve">D1 </w:t>
      </w:r>
      <w:proofErr w:type="spellStart"/>
      <w:r w:rsidR="002E5F22" w:rsidRPr="002E5F22">
        <w:rPr>
          <w:rFonts w:ascii="Arial" w:eastAsia="Times New Roman" w:hAnsi="Arial" w:cs="Arial"/>
          <w:color w:val="525252"/>
          <w:lang w:val="en-GB" w:eastAsia="sk-SK"/>
        </w:rPr>
        <w:t>Mengusovce</w:t>
      </w:r>
      <w:proofErr w:type="spellEnd"/>
      <w:r w:rsidR="002E5F22" w:rsidRPr="002E5F22">
        <w:rPr>
          <w:rFonts w:ascii="Arial" w:eastAsia="Times New Roman" w:hAnsi="Arial" w:cs="Arial"/>
          <w:color w:val="525252"/>
          <w:lang w:val="en-GB" w:eastAsia="sk-SK"/>
        </w:rPr>
        <w:t xml:space="preserve"> – </w:t>
      </w:r>
      <w:proofErr w:type="spellStart"/>
      <w:r w:rsidR="002E5F22" w:rsidRPr="002E5F22">
        <w:rPr>
          <w:rFonts w:ascii="Arial" w:eastAsia="Times New Roman" w:hAnsi="Arial" w:cs="Arial"/>
          <w:color w:val="525252"/>
          <w:lang w:val="en-GB" w:eastAsia="sk-SK"/>
        </w:rPr>
        <w:t>Jánovce</w:t>
      </w:r>
      <w:proofErr w:type="spellEnd"/>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was signed on</w:t>
      </w:r>
      <w:r w:rsidR="008D37BC" w:rsidRPr="00C64894">
        <w:rPr>
          <w:rFonts w:ascii="Arial" w:eastAsia="Times New Roman" w:hAnsi="Arial" w:cs="Arial"/>
          <w:color w:val="525252"/>
          <w:lang w:val="en-GB" w:eastAsia="sk-SK"/>
        </w:rPr>
        <w:t xml:space="preserve"> </w:t>
      </w:r>
      <w:r w:rsidR="002E5F22">
        <w:rPr>
          <w:rFonts w:ascii="Arial" w:eastAsia="Times New Roman" w:hAnsi="Arial" w:cs="Arial"/>
          <w:color w:val="525252"/>
          <w:lang w:val="en-GB" w:eastAsia="sk-SK"/>
        </w:rPr>
        <w:t>27</w:t>
      </w:r>
      <w:r w:rsidR="008D37BC" w:rsidRPr="00C64894">
        <w:rPr>
          <w:rFonts w:ascii="Arial" w:eastAsia="Times New Roman" w:hAnsi="Arial" w:cs="Arial"/>
          <w:color w:val="525252"/>
          <w:lang w:val="en-GB" w:eastAsia="sk-SK"/>
        </w:rPr>
        <w:t xml:space="preserve">. </w:t>
      </w:r>
      <w:r w:rsidR="002E5F22">
        <w:rPr>
          <w:rFonts w:ascii="Arial" w:eastAsia="Times New Roman" w:hAnsi="Arial" w:cs="Arial"/>
          <w:color w:val="525252"/>
          <w:lang w:val="en-GB" w:eastAsia="sk-SK"/>
        </w:rPr>
        <w:t>12</w:t>
      </w:r>
      <w:r w:rsidR="008D37BC" w:rsidRPr="00C64894">
        <w:rPr>
          <w:rFonts w:ascii="Arial" w:eastAsia="Times New Roman" w:hAnsi="Arial" w:cs="Arial"/>
          <w:color w:val="525252"/>
          <w:lang w:val="en-GB" w:eastAsia="sk-SK"/>
        </w:rPr>
        <w:t>. 20</w:t>
      </w:r>
      <w:r w:rsidR="000D0C94" w:rsidRPr="00C64894">
        <w:rPr>
          <w:rFonts w:ascii="Arial" w:eastAsia="Times New Roman" w:hAnsi="Arial" w:cs="Arial"/>
          <w:color w:val="525252"/>
          <w:lang w:val="en-GB" w:eastAsia="sk-SK"/>
        </w:rPr>
        <w:t>0</w:t>
      </w:r>
      <w:r w:rsidR="002E5F22">
        <w:rPr>
          <w:rFonts w:ascii="Arial" w:eastAsia="Times New Roman" w:hAnsi="Arial" w:cs="Arial"/>
          <w:color w:val="525252"/>
          <w:lang w:val="en-GB" w:eastAsia="sk-SK"/>
        </w:rPr>
        <w:t>4</w:t>
      </w:r>
      <w:r w:rsidR="008D37BC" w:rsidRPr="00C64894">
        <w:rPr>
          <w:rFonts w:ascii="Arial" w:eastAsia="Times New Roman" w:hAnsi="Arial" w:cs="Arial"/>
          <w:color w:val="525252"/>
          <w:lang w:val="en-GB" w:eastAsia="sk-SK"/>
        </w:rPr>
        <w:t>.</w:t>
      </w:r>
      <w:r w:rsidR="00505309" w:rsidRPr="00C64894">
        <w:rPr>
          <w:rFonts w:ascii="Arial" w:eastAsia="Times New Roman" w:hAnsi="Arial" w:cs="Arial"/>
          <w:color w:val="525252"/>
          <w:lang w:val="en-GB" w:eastAsia="sk-SK"/>
        </w:rPr>
        <w:t xml:space="preserve"> </w:t>
      </w:r>
      <w:r w:rsidR="002E5F22">
        <w:rPr>
          <w:rFonts w:ascii="Arial" w:eastAsia="Times New Roman" w:hAnsi="Arial" w:cs="Arial"/>
          <w:color w:val="525252"/>
          <w:lang w:val="en-GB" w:eastAsia="sk-SK"/>
        </w:rPr>
        <w:t>I</w:t>
      </w:r>
      <w:r w:rsidRPr="00C64894">
        <w:rPr>
          <w:rFonts w:ascii="Arial" w:eastAsia="Times New Roman" w:hAnsi="Arial" w:cs="Arial"/>
          <w:color w:val="525252"/>
          <w:lang w:val="en-GB" w:eastAsia="sk-SK"/>
        </w:rPr>
        <w:t>t was a financial contribution for the construction of</w:t>
      </w:r>
      <w:r w:rsidR="008D37BC" w:rsidRPr="00C64894">
        <w:rPr>
          <w:rFonts w:ascii="Arial" w:eastAsia="Times New Roman" w:hAnsi="Arial" w:cs="Arial"/>
          <w:color w:val="525252"/>
          <w:lang w:val="en-GB" w:eastAsia="sk-SK"/>
        </w:rPr>
        <w:t xml:space="preserve"> </w:t>
      </w:r>
      <w:r w:rsidR="002E5F22">
        <w:rPr>
          <w:rFonts w:ascii="Arial" w:eastAsia="Times New Roman" w:hAnsi="Arial" w:cs="Arial"/>
          <w:color w:val="525252"/>
          <w:lang w:val="en-GB" w:eastAsia="sk-SK"/>
        </w:rPr>
        <w:t>25</w:t>
      </w:r>
      <w:r w:rsidR="007C1825">
        <w:rPr>
          <w:rFonts w:ascii="Arial" w:eastAsia="Times New Roman" w:hAnsi="Arial" w:cs="Arial"/>
          <w:color w:val="525252"/>
          <w:lang w:val="en-GB" w:eastAsia="sk-SK"/>
        </w:rPr>
        <w:t>,</w:t>
      </w:r>
      <w:r w:rsidR="002E5F22">
        <w:rPr>
          <w:rFonts w:ascii="Arial" w:eastAsia="Times New Roman" w:hAnsi="Arial" w:cs="Arial"/>
          <w:color w:val="525252"/>
          <w:lang w:val="en-GB" w:eastAsia="sk-SK"/>
        </w:rPr>
        <w:t>8</w:t>
      </w:r>
      <w:r w:rsidR="007C1825">
        <w:rPr>
          <w:rFonts w:ascii="Arial" w:eastAsia="Times New Roman" w:hAnsi="Arial" w:cs="Arial"/>
          <w:color w:val="525252"/>
          <w:lang w:val="en-GB" w:eastAsia="sk-SK"/>
        </w:rPr>
        <w:t>5</w:t>
      </w:r>
      <w:r w:rsidR="00505309" w:rsidRPr="00C64894">
        <w:rPr>
          <w:rFonts w:ascii="Arial" w:eastAsia="Times New Roman" w:hAnsi="Arial" w:cs="Arial"/>
          <w:color w:val="525252"/>
          <w:lang w:val="en-GB" w:eastAsia="sk-SK"/>
        </w:rPr>
        <w:t xml:space="preserve"> </w:t>
      </w:r>
      <w:r w:rsidR="008D37BC" w:rsidRPr="00C64894">
        <w:rPr>
          <w:rFonts w:ascii="Arial" w:eastAsia="Times New Roman" w:hAnsi="Arial" w:cs="Arial"/>
          <w:color w:val="525252"/>
          <w:lang w:val="en-GB" w:eastAsia="sk-SK"/>
        </w:rPr>
        <w:t xml:space="preserve">km </w:t>
      </w:r>
      <w:r w:rsidRPr="00C64894">
        <w:rPr>
          <w:rFonts w:ascii="Arial" w:eastAsia="Times New Roman" w:hAnsi="Arial" w:cs="Arial"/>
          <w:color w:val="525252"/>
          <w:lang w:val="en-GB" w:eastAsia="sk-SK"/>
        </w:rPr>
        <w:t xml:space="preserve">of the </w:t>
      </w:r>
      <w:r w:rsidR="007C1825">
        <w:rPr>
          <w:rFonts w:ascii="Arial" w:eastAsia="Times New Roman" w:hAnsi="Arial" w:cs="Arial"/>
          <w:color w:val="525252"/>
          <w:lang w:val="en-GB" w:eastAsia="sk-SK"/>
        </w:rPr>
        <w:t>high</w:t>
      </w:r>
      <w:r w:rsidRPr="00C64894">
        <w:rPr>
          <w:rFonts w:ascii="Arial" w:eastAsia="Times New Roman" w:hAnsi="Arial" w:cs="Arial"/>
          <w:color w:val="525252"/>
          <w:lang w:val="en-GB" w:eastAsia="sk-SK"/>
        </w:rPr>
        <w:t xml:space="preserve">way </w:t>
      </w:r>
      <w:r w:rsidR="002E5F22" w:rsidRPr="002E5F22">
        <w:rPr>
          <w:rFonts w:ascii="Arial" w:eastAsia="Times New Roman" w:hAnsi="Arial" w:cs="Arial"/>
          <w:color w:val="525252"/>
          <w:lang w:val="en-GB" w:eastAsia="sk-SK"/>
        </w:rPr>
        <w:t xml:space="preserve">D1 </w:t>
      </w:r>
      <w:proofErr w:type="spellStart"/>
      <w:r w:rsidR="002E5F22" w:rsidRPr="002E5F22">
        <w:rPr>
          <w:rFonts w:ascii="Arial" w:eastAsia="Times New Roman" w:hAnsi="Arial" w:cs="Arial"/>
          <w:color w:val="525252"/>
          <w:lang w:val="en-GB" w:eastAsia="sk-SK"/>
        </w:rPr>
        <w:t>Mengusovce</w:t>
      </w:r>
      <w:proofErr w:type="spellEnd"/>
      <w:r w:rsidR="002E5F22" w:rsidRPr="002E5F22">
        <w:rPr>
          <w:rFonts w:ascii="Arial" w:eastAsia="Times New Roman" w:hAnsi="Arial" w:cs="Arial"/>
          <w:color w:val="525252"/>
          <w:lang w:val="en-GB" w:eastAsia="sk-SK"/>
        </w:rPr>
        <w:t xml:space="preserve"> – </w:t>
      </w:r>
      <w:proofErr w:type="spellStart"/>
      <w:r w:rsidR="002E5F22" w:rsidRPr="002E5F22">
        <w:rPr>
          <w:rFonts w:ascii="Arial" w:eastAsia="Times New Roman" w:hAnsi="Arial" w:cs="Arial"/>
          <w:color w:val="525252"/>
          <w:lang w:val="en-GB" w:eastAsia="sk-SK"/>
        </w:rPr>
        <w:t>Jánovce</w:t>
      </w:r>
      <w:proofErr w:type="spellEnd"/>
      <w:r w:rsidR="008D37BC" w:rsidRPr="00C64894">
        <w:rPr>
          <w:rFonts w:ascii="Arial" w:eastAsia="Times New Roman" w:hAnsi="Arial" w:cs="Arial"/>
          <w:color w:val="525252"/>
          <w:lang w:val="en-GB" w:eastAsia="sk-SK"/>
        </w:rPr>
        <w:t>.  </w:t>
      </w:r>
      <w:r w:rsidRPr="00C64894">
        <w:rPr>
          <w:rFonts w:ascii="Arial" w:eastAsia="Times New Roman" w:hAnsi="Arial" w:cs="Arial"/>
          <w:color w:val="525252"/>
          <w:lang w:val="en-GB" w:eastAsia="sk-SK"/>
        </w:rPr>
        <w:t xml:space="preserve">The Beneficiary </w:t>
      </w:r>
      <w:r w:rsidR="008D37BC" w:rsidRPr="00C64894">
        <w:rPr>
          <w:rFonts w:ascii="Arial" w:eastAsia="Times New Roman" w:hAnsi="Arial" w:cs="Arial"/>
          <w:color w:val="525252"/>
          <w:lang w:val="en-GB" w:eastAsia="sk-SK"/>
        </w:rPr>
        <w:t>(</w:t>
      </w:r>
      <w:r w:rsidRPr="00C64894">
        <w:rPr>
          <w:rFonts w:ascii="Arial" w:eastAsia="Times New Roman" w:hAnsi="Arial" w:cs="Arial"/>
          <w:color w:val="525252"/>
          <w:lang w:val="en-GB" w:eastAsia="sk-SK"/>
        </w:rPr>
        <w:t>National Motorway Company, hereinafter as “NMC“</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received a financial contribution of </w:t>
      </w:r>
      <w:r w:rsidR="002E5F22" w:rsidRPr="00204377">
        <w:rPr>
          <w:rFonts w:ascii="Arial" w:eastAsia="Times New Roman" w:hAnsi="Arial" w:cs="Arial"/>
          <w:b/>
          <w:color w:val="525252"/>
          <w:lang w:eastAsia="sk-SK"/>
        </w:rPr>
        <w:t>6 051 910 007,12</w:t>
      </w:r>
      <w:r w:rsidR="002E5F22">
        <w:rPr>
          <w:rFonts w:ascii="Arial" w:eastAsia="Times New Roman" w:hAnsi="Arial" w:cs="Arial"/>
          <w:color w:val="525252"/>
          <w:lang w:eastAsia="sk-SK"/>
        </w:rPr>
        <w:t xml:space="preserve"> </w:t>
      </w:r>
      <w:r w:rsidR="002E5F22">
        <w:rPr>
          <w:rFonts w:ascii="Arial" w:eastAsia="Times New Roman" w:hAnsi="Arial" w:cs="Arial"/>
          <w:b/>
          <w:bCs/>
          <w:color w:val="525252"/>
          <w:lang w:eastAsia="sk-SK"/>
        </w:rPr>
        <w:t>SKK</w:t>
      </w:r>
      <w:r w:rsidR="002E5F22" w:rsidRPr="000026EF">
        <w:rPr>
          <w:rFonts w:ascii="Arial" w:eastAsia="Times New Roman" w:hAnsi="Arial" w:cs="Arial"/>
          <w:b/>
          <w:bCs/>
          <w:color w:val="525252"/>
          <w:lang w:eastAsia="sk-SK"/>
        </w:rPr>
        <w:t xml:space="preserve"> </w:t>
      </w:r>
      <w:r w:rsidR="002E5F22">
        <w:rPr>
          <w:rFonts w:ascii="Arial" w:eastAsia="Times New Roman" w:hAnsi="Arial" w:cs="Arial"/>
          <w:b/>
          <w:bCs/>
          <w:color w:val="525252"/>
          <w:lang w:eastAsia="sk-SK"/>
        </w:rPr>
        <w:t xml:space="preserve">(200 886 610 </w:t>
      </w:r>
      <w:r w:rsidRPr="00C64894">
        <w:rPr>
          <w:rFonts w:ascii="Arial" w:eastAsia="Times New Roman" w:hAnsi="Arial" w:cs="Arial"/>
          <w:b/>
          <w:color w:val="525252"/>
          <w:lang w:val="en-GB" w:eastAsia="sk-SK"/>
        </w:rPr>
        <w:t>EUR</w:t>
      </w:r>
      <w:r w:rsidR="002E5F22">
        <w:rPr>
          <w:rFonts w:ascii="Arial" w:eastAsia="Times New Roman" w:hAnsi="Arial" w:cs="Arial"/>
          <w:b/>
          <w:color w:val="525252"/>
          <w:lang w:val="en-GB" w:eastAsia="sk-SK"/>
        </w:rPr>
        <w:t>)</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consisting of the contribution of </w:t>
      </w:r>
      <w:r w:rsidRPr="00C64894">
        <w:rPr>
          <w:rFonts w:ascii="Arial" w:eastAsia="Times New Roman" w:hAnsi="Arial" w:cs="Arial"/>
          <w:b/>
          <w:color w:val="525252"/>
          <w:lang w:val="en-GB" w:eastAsia="sk-SK"/>
        </w:rPr>
        <w:t>EUR</w:t>
      </w:r>
      <w:r w:rsidRPr="00C64894">
        <w:rPr>
          <w:rFonts w:ascii="Arial" w:eastAsia="Times New Roman" w:hAnsi="Arial" w:cs="Arial"/>
          <w:color w:val="525252"/>
          <w:lang w:val="en-GB" w:eastAsia="sk-SK"/>
        </w:rPr>
        <w:t xml:space="preserve"> </w:t>
      </w:r>
      <w:bookmarkStart w:id="1" w:name="_Hlk14694862"/>
      <w:r w:rsidR="002E5F22">
        <w:rPr>
          <w:rFonts w:ascii="Arial" w:eastAsia="Times New Roman" w:hAnsi="Arial" w:cs="Arial"/>
          <w:b/>
          <w:bCs/>
          <w:color w:val="525252"/>
          <w:lang w:eastAsia="sk-SK"/>
        </w:rPr>
        <w:t>170 753 618</w:t>
      </w:r>
      <w:r w:rsidR="002E5F22" w:rsidRPr="000026EF">
        <w:rPr>
          <w:rFonts w:ascii="Arial" w:eastAsia="Times New Roman" w:hAnsi="Arial" w:cs="Arial"/>
          <w:b/>
          <w:bCs/>
          <w:color w:val="525252"/>
          <w:lang w:eastAsia="sk-SK"/>
        </w:rPr>
        <w:t xml:space="preserve"> </w:t>
      </w:r>
      <w:bookmarkEnd w:id="1"/>
      <w:r w:rsidRPr="00C64894">
        <w:rPr>
          <w:rFonts w:ascii="Arial" w:eastAsia="Times New Roman" w:hAnsi="Arial" w:cs="Arial"/>
          <w:color w:val="525252"/>
          <w:lang w:val="en-GB" w:eastAsia="sk-SK"/>
        </w:rPr>
        <w:t xml:space="preserve">from the European Regional Development Fund </w:t>
      </w:r>
      <w:r w:rsidR="008D37BC" w:rsidRPr="00C64894">
        <w:rPr>
          <w:rFonts w:ascii="Arial" w:eastAsia="Times New Roman" w:hAnsi="Arial" w:cs="Arial"/>
          <w:color w:val="525252"/>
          <w:lang w:val="en-GB" w:eastAsia="sk-SK"/>
        </w:rPr>
        <w:t xml:space="preserve">(85 % </w:t>
      </w:r>
      <w:r w:rsidRPr="00C64894">
        <w:rPr>
          <w:rFonts w:ascii="Arial" w:eastAsia="Times New Roman" w:hAnsi="Arial" w:cs="Arial"/>
          <w:color w:val="525252"/>
          <w:lang w:val="en-GB" w:eastAsia="sk-SK"/>
        </w:rPr>
        <w:t>of the total amount</w:t>
      </w:r>
      <w:r w:rsidR="008D37BC" w:rsidRPr="00C64894">
        <w:rPr>
          <w:rFonts w:ascii="Arial" w:eastAsia="Times New Roman" w:hAnsi="Arial" w:cs="Arial"/>
          <w:color w:val="525252"/>
          <w:lang w:val="en-GB" w:eastAsia="sk-SK"/>
        </w:rPr>
        <w:t>)</w:t>
      </w:r>
      <w:r w:rsidRPr="00C64894">
        <w:rPr>
          <w:rFonts w:ascii="Arial" w:eastAsia="Times New Roman" w:hAnsi="Arial" w:cs="Arial"/>
          <w:color w:val="525252"/>
          <w:lang w:val="en-GB" w:eastAsia="sk-SK"/>
        </w:rPr>
        <w:t xml:space="preserve"> and the contribution of </w:t>
      </w:r>
      <w:r w:rsidRPr="00C64894">
        <w:rPr>
          <w:rFonts w:ascii="Arial" w:eastAsia="Times New Roman" w:hAnsi="Arial" w:cs="Arial"/>
          <w:b/>
          <w:color w:val="525252"/>
          <w:lang w:val="en-GB" w:eastAsia="sk-SK"/>
        </w:rPr>
        <w:t>EUR</w:t>
      </w:r>
      <w:r w:rsidR="008D37BC" w:rsidRPr="00C64894">
        <w:rPr>
          <w:rFonts w:ascii="Arial" w:eastAsia="Times New Roman" w:hAnsi="Arial" w:cs="Arial"/>
          <w:color w:val="525252"/>
          <w:lang w:val="en-GB" w:eastAsia="sk-SK"/>
        </w:rPr>
        <w:t> </w:t>
      </w:r>
      <w:bookmarkStart w:id="2" w:name="_Hlk14694872"/>
      <w:r w:rsidR="002E5F22">
        <w:rPr>
          <w:rFonts w:ascii="Arial" w:eastAsia="Times New Roman" w:hAnsi="Arial" w:cs="Arial"/>
          <w:b/>
          <w:color w:val="525252"/>
          <w:lang w:eastAsia="sk-SK"/>
        </w:rPr>
        <w:t>30 132 991</w:t>
      </w:r>
      <w:r w:rsidR="002E5F22" w:rsidRPr="000026EF">
        <w:rPr>
          <w:rFonts w:ascii="Arial" w:eastAsia="Times New Roman" w:hAnsi="Arial" w:cs="Arial"/>
          <w:b/>
          <w:bCs/>
          <w:color w:val="525252"/>
          <w:lang w:eastAsia="sk-SK"/>
        </w:rPr>
        <w:t xml:space="preserve"> </w:t>
      </w:r>
      <w:bookmarkEnd w:id="2"/>
      <w:r w:rsidRPr="00C64894">
        <w:rPr>
          <w:rFonts w:ascii="Arial" w:eastAsia="Times New Roman" w:hAnsi="Arial" w:cs="Arial"/>
          <w:bCs/>
          <w:color w:val="525252"/>
          <w:lang w:val="en-GB" w:eastAsia="sk-SK"/>
        </w:rPr>
        <w:t>from the state budget (15% of the total amount)</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The contribution was determined on the basis of the financial analysis of the project’s cost/benefit analysis (CBA)</w:t>
      </w:r>
      <w:r w:rsidR="002E5F22">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The </w:t>
      </w:r>
      <w:r w:rsidR="007C1825">
        <w:rPr>
          <w:rFonts w:ascii="Arial" w:eastAsia="Times New Roman" w:hAnsi="Arial" w:cs="Arial"/>
          <w:color w:val="525252"/>
          <w:lang w:val="en-GB" w:eastAsia="sk-SK"/>
        </w:rPr>
        <w:t>high</w:t>
      </w:r>
      <w:r w:rsidRPr="00C64894">
        <w:rPr>
          <w:rFonts w:ascii="Arial" w:eastAsia="Times New Roman" w:hAnsi="Arial" w:cs="Arial"/>
          <w:color w:val="525252"/>
          <w:lang w:val="en-GB" w:eastAsia="sk-SK"/>
        </w:rPr>
        <w:t xml:space="preserve">way </w:t>
      </w:r>
      <w:r w:rsidR="002E5F22" w:rsidRPr="002E5F22">
        <w:rPr>
          <w:rFonts w:ascii="Arial" w:eastAsia="Times New Roman" w:hAnsi="Arial" w:cs="Arial"/>
          <w:color w:val="525252"/>
          <w:lang w:val="en-GB" w:eastAsia="sk-SK"/>
        </w:rPr>
        <w:t xml:space="preserve">D1 </w:t>
      </w:r>
      <w:proofErr w:type="spellStart"/>
      <w:r w:rsidR="002E5F22" w:rsidRPr="002E5F22">
        <w:rPr>
          <w:rFonts w:ascii="Arial" w:eastAsia="Times New Roman" w:hAnsi="Arial" w:cs="Arial"/>
          <w:color w:val="525252"/>
          <w:lang w:val="en-GB" w:eastAsia="sk-SK"/>
        </w:rPr>
        <w:t>Mengusovce</w:t>
      </w:r>
      <w:proofErr w:type="spellEnd"/>
      <w:r w:rsidR="002E5F22" w:rsidRPr="002E5F22">
        <w:rPr>
          <w:rFonts w:ascii="Arial" w:eastAsia="Times New Roman" w:hAnsi="Arial" w:cs="Arial"/>
          <w:color w:val="525252"/>
          <w:lang w:val="en-GB" w:eastAsia="sk-SK"/>
        </w:rPr>
        <w:t xml:space="preserve"> – </w:t>
      </w:r>
      <w:proofErr w:type="spellStart"/>
      <w:r w:rsidR="002E5F22" w:rsidRPr="002E5F22">
        <w:rPr>
          <w:rFonts w:ascii="Arial" w:eastAsia="Times New Roman" w:hAnsi="Arial" w:cs="Arial"/>
          <w:color w:val="525252"/>
          <w:lang w:val="en-GB" w:eastAsia="sk-SK"/>
        </w:rPr>
        <w:t>Jánovce</w:t>
      </w:r>
      <w:proofErr w:type="spellEnd"/>
      <w:r w:rsidR="002E5F22" w:rsidRPr="002E5F22">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is </w:t>
      </w:r>
      <w:r w:rsidR="000D0C94" w:rsidRPr="00C64894">
        <w:rPr>
          <w:rFonts w:ascii="Arial" w:eastAsia="Times New Roman" w:hAnsi="Arial" w:cs="Arial"/>
          <w:color w:val="525252"/>
          <w:lang w:val="en-GB" w:eastAsia="sk-SK"/>
        </w:rPr>
        <w:t xml:space="preserve">completely </w:t>
      </w:r>
      <w:r w:rsidRPr="00C64894">
        <w:rPr>
          <w:rFonts w:ascii="Arial" w:eastAsia="Times New Roman" w:hAnsi="Arial" w:cs="Arial"/>
          <w:color w:val="525252"/>
          <w:lang w:val="en-GB" w:eastAsia="sk-SK"/>
        </w:rPr>
        <w:t xml:space="preserve">in operation since </w:t>
      </w:r>
      <w:r w:rsidR="002E5F22">
        <w:rPr>
          <w:rFonts w:ascii="Arial" w:eastAsia="Times New Roman" w:hAnsi="Arial" w:cs="Arial"/>
          <w:color w:val="525252"/>
          <w:lang w:val="en-GB" w:eastAsia="sk-SK"/>
        </w:rPr>
        <w:t>December</w:t>
      </w:r>
      <w:r w:rsidR="00B27FCF" w:rsidRPr="00C64894">
        <w:rPr>
          <w:rFonts w:ascii="Arial" w:eastAsia="Times New Roman" w:hAnsi="Arial" w:cs="Arial"/>
          <w:color w:val="525252"/>
          <w:lang w:val="en-GB" w:eastAsia="sk-SK"/>
        </w:rPr>
        <w:t xml:space="preserve"> 20</w:t>
      </w:r>
      <w:r w:rsidR="007C1825">
        <w:rPr>
          <w:rFonts w:ascii="Arial" w:eastAsia="Times New Roman" w:hAnsi="Arial" w:cs="Arial"/>
          <w:color w:val="525252"/>
          <w:lang w:val="en-GB" w:eastAsia="sk-SK"/>
        </w:rPr>
        <w:t>0</w:t>
      </w:r>
      <w:r w:rsidR="002E5F22">
        <w:rPr>
          <w:rFonts w:ascii="Arial" w:eastAsia="Times New Roman" w:hAnsi="Arial" w:cs="Arial"/>
          <w:color w:val="525252"/>
          <w:lang w:val="en-GB" w:eastAsia="sk-SK"/>
        </w:rPr>
        <w:t>9</w:t>
      </w:r>
      <w:r w:rsidR="008D37BC" w:rsidRPr="00C64894">
        <w:rPr>
          <w:rFonts w:ascii="Arial" w:eastAsia="Times New Roman" w:hAnsi="Arial" w:cs="Arial"/>
          <w:color w:val="525252"/>
          <w:lang w:val="en-GB" w:eastAsia="sk-SK"/>
        </w:rPr>
        <w:t>.</w:t>
      </w:r>
    </w:p>
    <w:p w:rsidR="008D37BC" w:rsidRPr="00C64894" w:rsidRDefault="00B27FCF" w:rsidP="000D0C94">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As the Managing Authority, the Ministry of Transport and Construction of the Slovak Republic proceeded to an ex-post </w:t>
      </w:r>
      <w:r w:rsidR="000E424E" w:rsidRPr="00C64894">
        <w:rPr>
          <w:rFonts w:ascii="Arial" w:eastAsia="Times New Roman" w:hAnsi="Arial" w:cs="Arial"/>
          <w:color w:val="525252"/>
          <w:lang w:val="en-GB" w:eastAsia="sk-SK"/>
        </w:rPr>
        <w:t xml:space="preserve">review of CBA to improve the quality of future CBAs for road projects, to refine transport modelling of future projects and to help to update the CBA Methodological Guide (if proven </w:t>
      </w:r>
      <w:r w:rsidR="00505309" w:rsidRPr="00C64894">
        <w:rPr>
          <w:rFonts w:ascii="Arial" w:eastAsia="Times New Roman" w:hAnsi="Arial" w:cs="Arial"/>
          <w:color w:val="525252"/>
          <w:lang w:val="en-GB" w:eastAsia="sk-SK"/>
        </w:rPr>
        <w:t>necessary</w:t>
      </w:r>
      <w:r w:rsidR="000E424E" w:rsidRPr="00C64894">
        <w:rPr>
          <w:rFonts w:ascii="Arial" w:eastAsia="Times New Roman" w:hAnsi="Arial" w:cs="Arial"/>
          <w:color w:val="525252"/>
          <w:lang w:val="en-GB" w:eastAsia="sk-SK"/>
        </w:rPr>
        <w:t>).</w:t>
      </w:r>
    </w:p>
    <w:p w:rsidR="008D37BC" w:rsidRPr="00C64894" w:rsidRDefault="000E424E"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This activity will contribute to increasing the efficiency of expenditure of public and EU funds.</w:t>
      </w:r>
    </w:p>
    <w:p w:rsidR="008D37BC" w:rsidRPr="00C64894" w:rsidRDefault="000E424E"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following actual input data for the period from 20</w:t>
      </w:r>
      <w:r w:rsidR="000D0C94" w:rsidRPr="00C64894">
        <w:rPr>
          <w:rFonts w:ascii="Arial" w:eastAsia="Times New Roman" w:hAnsi="Arial" w:cs="Arial"/>
          <w:color w:val="525252"/>
          <w:lang w:val="en-GB" w:eastAsia="sk-SK"/>
        </w:rPr>
        <w:t>0</w:t>
      </w:r>
      <w:r w:rsidR="007C1825">
        <w:rPr>
          <w:rFonts w:ascii="Arial" w:eastAsia="Times New Roman" w:hAnsi="Arial" w:cs="Arial"/>
          <w:color w:val="525252"/>
          <w:lang w:val="en-GB" w:eastAsia="sk-SK"/>
        </w:rPr>
        <w:t>5</w:t>
      </w:r>
      <w:r w:rsidRPr="00C64894">
        <w:rPr>
          <w:rFonts w:ascii="Arial" w:eastAsia="Times New Roman" w:hAnsi="Arial" w:cs="Arial"/>
          <w:color w:val="525252"/>
          <w:lang w:val="en-GB" w:eastAsia="sk-SK"/>
        </w:rPr>
        <w:t xml:space="preserve"> to 2018 were considered for the ex-post CBA</w:t>
      </w:r>
      <w:r w:rsidR="008D37BC" w:rsidRPr="00C64894">
        <w:rPr>
          <w:rFonts w:ascii="Arial" w:eastAsia="Times New Roman" w:hAnsi="Arial" w:cs="Arial"/>
          <w:color w:val="525252"/>
          <w:lang w:val="en-GB" w:eastAsia="sk-SK"/>
        </w:rPr>
        <w:t>:</w:t>
      </w:r>
    </w:p>
    <w:p w:rsidR="008D37BC" w:rsidRPr="00C64894" w:rsidRDefault="000E424E" w:rsidP="000D0C94">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i/>
          <w:iCs/>
          <w:color w:val="525252"/>
          <w:lang w:val="en-GB" w:eastAsia="sk-SK"/>
        </w:rPr>
        <w:t xml:space="preserve">GDP </w:t>
      </w:r>
      <w:r w:rsidR="00505309" w:rsidRPr="00C64894">
        <w:rPr>
          <w:rFonts w:ascii="Arial" w:eastAsia="Times New Roman" w:hAnsi="Arial" w:cs="Arial"/>
          <w:i/>
          <w:iCs/>
          <w:color w:val="525252"/>
          <w:lang w:val="en-GB" w:eastAsia="sk-SK"/>
        </w:rPr>
        <w:t>–</w:t>
      </w:r>
      <w:r w:rsidRPr="00C64894">
        <w:rPr>
          <w:rFonts w:ascii="Arial" w:eastAsia="Times New Roman" w:hAnsi="Arial" w:cs="Arial"/>
          <w:i/>
          <w:iCs/>
          <w:color w:val="525252"/>
          <w:lang w:val="en-GB" w:eastAsia="sk-SK"/>
        </w:rPr>
        <w:t xml:space="preserve"> source</w:t>
      </w:r>
      <w:r w:rsidR="008D37BC" w:rsidRPr="00C64894">
        <w:rPr>
          <w:rFonts w:ascii="Arial" w:eastAsia="Times New Roman" w:hAnsi="Arial" w:cs="Arial"/>
          <w:i/>
          <w:iCs/>
          <w:color w:val="525252"/>
          <w:lang w:val="en-GB" w:eastAsia="sk-SK"/>
        </w:rPr>
        <w:t xml:space="preserve">: </w:t>
      </w:r>
      <w:r w:rsidRPr="00C64894">
        <w:rPr>
          <w:rFonts w:ascii="Arial" w:eastAsia="Times New Roman" w:hAnsi="Arial" w:cs="Arial"/>
          <w:i/>
          <w:iCs/>
          <w:color w:val="525252"/>
          <w:lang w:val="en-GB" w:eastAsia="sk-SK"/>
        </w:rPr>
        <w:t>Statistical Office of the SR, Ministry of Finance of the SR, Slovak CBA Guide OPII</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Inflation – source: Statistical Office of the SR;</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Investment costs – source: National Motorway Company accounting;</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 xml:space="preserve">Traffic intensity – source: nation traffic census </w:t>
      </w:r>
      <w:r w:rsidR="000D0C94" w:rsidRPr="00C64894">
        <w:rPr>
          <w:rFonts w:ascii="Arial" w:eastAsia="Times New Roman" w:hAnsi="Arial" w:cs="Arial"/>
          <w:i/>
          <w:iCs/>
          <w:color w:val="525252"/>
          <w:lang w:val="en-GB" w:eastAsia="sk-SK"/>
        </w:rPr>
        <w:t xml:space="preserve">2005, 2010 and </w:t>
      </w:r>
      <w:r w:rsidRPr="00C64894">
        <w:rPr>
          <w:rFonts w:ascii="Arial" w:eastAsia="Times New Roman" w:hAnsi="Arial" w:cs="Arial"/>
          <w:i/>
          <w:iCs/>
          <w:color w:val="525252"/>
          <w:lang w:val="en-GB" w:eastAsia="sk-SK"/>
        </w:rPr>
        <w:t>2015, automated traffic counters of NMC;</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Operation and Maintenance costs – source: National Motorway Company accounting;</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Revenues – source: National Motorway Company accounting;</w:t>
      </w:r>
    </w:p>
    <w:p w:rsidR="008D37BC" w:rsidRPr="00C64894" w:rsidRDefault="000E424E" w:rsidP="000D0C94">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Subsequently, the CBA of the entire project was recalculated including predictions until 20</w:t>
      </w:r>
      <w:r w:rsidR="000D0C94" w:rsidRPr="00C64894">
        <w:rPr>
          <w:rFonts w:ascii="Arial" w:eastAsia="Times New Roman" w:hAnsi="Arial" w:cs="Arial"/>
          <w:color w:val="525252"/>
          <w:lang w:val="en-GB" w:eastAsia="sk-SK"/>
        </w:rPr>
        <w:t>3</w:t>
      </w:r>
      <w:r w:rsidR="007C1825">
        <w:rPr>
          <w:rFonts w:ascii="Arial" w:eastAsia="Times New Roman" w:hAnsi="Arial" w:cs="Arial"/>
          <w:color w:val="525252"/>
          <w:lang w:val="en-GB" w:eastAsia="sk-SK"/>
        </w:rPr>
        <w:t>4</w:t>
      </w:r>
      <w:r w:rsidRPr="00C64894">
        <w:rPr>
          <w:rFonts w:ascii="Arial" w:eastAsia="Times New Roman" w:hAnsi="Arial" w:cs="Arial"/>
          <w:color w:val="525252"/>
          <w:lang w:val="en-GB" w:eastAsia="sk-SK"/>
        </w:rPr>
        <w:t xml:space="preserve"> using the currently valid methodology for the Operational Programme Integrated Infrastructure (2014 - 2020). The original CBA was calculated using the methodology of the previous Operational Programme </w:t>
      </w:r>
      <w:r w:rsidR="002E5F22">
        <w:rPr>
          <w:rFonts w:ascii="Arial" w:eastAsia="Times New Roman" w:hAnsi="Arial" w:cs="Arial"/>
          <w:color w:val="525252"/>
          <w:lang w:val="en-GB" w:eastAsia="sk-SK"/>
        </w:rPr>
        <w:t xml:space="preserve">Basic Infrastructure </w:t>
      </w:r>
      <w:r w:rsidRPr="00C64894">
        <w:rPr>
          <w:rFonts w:ascii="Arial" w:eastAsia="Times New Roman" w:hAnsi="Arial" w:cs="Arial"/>
          <w:color w:val="525252"/>
          <w:lang w:val="en-GB" w:eastAsia="sk-SK"/>
        </w:rPr>
        <w:t>(200</w:t>
      </w:r>
      <w:r w:rsidR="002E5F22">
        <w:rPr>
          <w:rFonts w:ascii="Arial" w:eastAsia="Times New Roman" w:hAnsi="Arial" w:cs="Arial"/>
          <w:color w:val="525252"/>
          <w:lang w:val="en-GB" w:eastAsia="sk-SK"/>
        </w:rPr>
        <w:t>4</w:t>
      </w:r>
      <w:r w:rsidRPr="00C64894">
        <w:rPr>
          <w:rFonts w:ascii="Arial" w:eastAsia="Times New Roman" w:hAnsi="Arial" w:cs="Arial"/>
          <w:color w:val="525252"/>
          <w:lang w:val="en-GB" w:eastAsia="sk-SK"/>
        </w:rPr>
        <w:t xml:space="preserve"> - 20</w:t>
      </w:r>
      <w:r w:rsidR="002E5F22">
        <w:rPr>
          <w:rFonts w:ascii="Arial" w:eastAsia="Times New Roman" w:hAnsi="Arial" w:cs="Arial"/>
          <w:color w:val="525252"/>
          <w:lang w:val="en-GB" w:eastAsia="sk-SK"/>
        </w:rPr>
        <w:t>06</w:t>
      </w:r>
      <w:r w:rsidRPr="00C64894">
        <w:rPr>
          <w:rFonts w:ascii="Arial" w:eastAsia="Times New Roman" w:hAnsi="Arial" w:cs="Arial"/>
          <w:color w:val="525252"/>
          <w:lang w:val="en-GB" w:eastAsia="sk-SK"/>
        </w:rPr>
        <w:t>).</w:t>
      </w:r>
    </w:p>
    <w:p w:rsidR="008D37BC" w:rsidRPr="00C64894" w:rsidRDefault="000E424E" w:rsidP="00ED1A08">
      <w:pPr>
        <w:shd w:val="clear" w:color="auto" w:fill="FFFFFF"/>
        <w:jc w:val="both"/>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Evaluation of financial analysis</w:t>
      </w:r>
    </w:p>
    <w:p w:rsidR="00ED1A08" w:rsidRDefault="00ED1A08" w:rsidP="00505309">
      <w:pPr>
        <w:shd w:val="clear" w:color="auto" w:fill="FFFFFF"/>
        <w:tabs>
          <w:tab w:val="left" w:pos="7760"/>
        </w:tabs>
        <w:spacing w:before="120" w:after="120"/>
        <w:jc w:val="both"/>
        <w:rPr>
          <w:rFonts w:ascii="Arial" w:eastAsia="Times New Roman" w:hAnsi="Arial" w:cs="Arial"/>
          <w:color w:val="525252"/>
          <w:lang w:val="en-GB" w:eastAsia="sk-SK"/>
        </w:rPr>
      </w:pPr>
      <w:r w:rsidRPr="00ED1A08">
        <w:rPr>
          <w:rFonts w:ascii="Arial" w:eastAsia="Times New Roman" w:hAnsi="Arial" w:cs="Arial"/>
          <w:color w:val="525252"/>
          <w:lang w:val="en-GB" w:eastAsia="sk-SK"/>
        </w:rPr>
        <w:t>Investment costs of the Project</w:t>
      </w:r>
      <w:r>
        <w:rPr>
          <w:rFonts w:ascii="Arial" w:eastAsia="Times New Roman" w:hAnsi="Arial" w:cs="Arial"/>
          <w:color w:val="525252"/>
          <w:lang w:val="en-GB" w:eastAsia="sk-SK"/>
        </w:rPr>
        <w:t xml:space="preserve">, according to </w:t>
      </w:r>
      <w:r w:rsidRPr="00ED1A08">
        <w:rPr>
          <w:rFonts w:ascii="Arial" w:eastAsia="Times New Roman" w:hAnsi="Arial" w:cs="Arial"/>
          <w:color w:val="525252"/>
          <w:lang w:val="en-GB" w:eastAsia="sk-SK"/>
        </w:rPr>
        <w:t>National Motorway Company accounting</w:t>
      </w:r>
      <w:r>
        <w:rPr>
          <w:rFonts w:ascii="Arial" w:eastAsia="Times New Roman" w:hAnsi="Arial" w:cs="Arial"/>
          <w:color w:val="525252"/>
          <w:lang w:val="en-GB" w:eastAsia="sk-SK"/>
        </w:rPr>
        <w:t>, are</w:t>
      </w:r>
      <w:r w:rsidRPr="00ED1A08">
        <w:rPr>
          <w:rFonts w:ascii="Arial" w:eastAsia="Times New Roman" w:hAnsi="Arial" w:cs="Arial"/>
          <w:color w:val="525252"/>
          <w:lang w:val="en-GB" w:eastAsia="sk-SK"/>
        </w:rPr>
        <w:t xml:space="preserve"> </w:t>
      </w:r>
      <w:r w:rsidRPr="0099030B">
        <w:rPr>
          <w:rFonts w:ascii="Arial" w:eastAsia="Times New Roman" w:hAnsi="Arial" w:cs="Arial"/>
          <w:color w:val="525252"/>
          <w:lang w:eastAsia="sk-SK"/>
        </w:rPr>
        <w:t>388 309 805 EUR</w:t>
      </w:r>
      <w:r>
        <w:rPr>
          <w:rFonts w:ascii="Arial" w:eastAsia="Times New Roman" w:hAnsi="Arial" w:cs="Arial"/>
          <w:color w:val="525252"/>
          <w:lang w:eastAsia="sk-SK"/>
        </w:rPr>
        <w:t xml:space="preserve">. </w:t>
      </w:r>
      <w:r w:rsidRPr="00C64894">
        <w:rPr>
          <w:rFonts w:ascii="Arial" w:eastAsia="Times New Roman" w:hAnsi="Arial" w:cs="Arial"/>
          <w:color w:val="525252"/>
          <w:lang w:val="en-GB" w:eastAsia="sk-SK"/>
        </w:rPr>
        <w:t xml:space="preserve"> </w:t>
      </w:r>
    </w:p>
    <w:p w:rsidR="00ED1A08" w:rsidRDefault="00ED1A08" w:rsidP="00505309">
      <w:pPr>
        <w:shd w:val="clear" w:color="auto" w:fill="FFFFFF"/>
        <w:tabs>
          <w:tab w:val="left" w:pos="7760"/>
        </w:tabs>
        <w:spacing w:before="120" w:after="120"/>
        <w:jc w:val="both"/>
        <w:rPr>
          <w:rFonts w:ascii="Arial" w:eastAsia="Times New Roman" w:hAnsi="Arial" w:cs="Arial"/>
          <w:color w:val="525252"/>
          <w:lang w:val="en-GB" w:eastAsia="sk-SK"/>
        </w:rPr>
      </w:pPr>
      <w:r>
        <w:rPr>
          <w:rFonts w:ascii="Arial" w:eastAsia="Times New Roman" w:hAnsi="Arial" w:cs="Arial"/>
          <w:color w:val="525252"/>
          <w:lang w:val="en-GB" w:eastAsia="sk-SK"/>
        </w:rPr>
        <w:t>T</w:t>
      </w:r>
      <w:r w:rsidRPr="00ED1A08">
        <w:rPr>
          <w:rFonts w:ascii="Arial" w:eastAsia="Times New Roman" w:hAnsi="Arial" w:cs="Arial"/>
          <w:color w:val="525252"/>
          <w:lang w:val="en-GB" w:eastAsia="sk-SK"/>
        </w:rPr>
        <w:t xml:space="preserve">he residual value </w:t>
      </w:r>
      <w:r>
        <w:rPr>
          <w:rFonts w:ascii="Arial" w:eastAsia="Times New Roman" w:hAnsi="Arial" w:cs="Arial"/>
          <w:color w:val="525252"/>
          <w:lang w:val="en-GB" w:eastAsia="sk-SK"/>
        </w:rPr>
        <w:t xml:space="preserve">is </w:t>
      </w:r>
      <w:r w:rsidRPr="00ED1A08">
        <w:rPr>
          <w:rFonts w:ascii="Arial" w:eastAsia="Times New Roman" w:hAnsi="Arial" w:cs="Arial"/>
          <w:color w:val="525252"/>
          <w:lang w:val="en-GB" w:eastAsia="sk-SK"/>
        </w:rPr>
        <w:t xml:space="preserve">calculated on the basis of the lifetime of the infrastructure components, which represents the value of </w:t>
      </w:r>
      <w:r w:rsidRPr="0099030B">
        <w:rPr>
          <w:rFonts w:ascii="Arial" w:eastAsia="Times New Roman" w:hAnsi="Arial" w:cs="Arial"/>
          <w:color w:val="525252"/>
          <w:lang w:eastAsia="sk-SK"/>
        </w:rPr>
        <w:t>125 143 732 EUR</w:t>
      </w:r>
      <w:r w:rsidRPr="00ED1A08">
        <w:rPr>
          <w:rFonts w:ascii="Arial" w:eastAsia="Times New Roman" w:hAnsi="Arial" w:cs="Arial"/>
          <w:color w:val="525252"/>
          <w:lang w:val="en-GB" w:eastAsia="sk-SK"/>
        </w:rPr>
        <w:t>,</w:t>
      </w:r>
      <w:r>
        <w:rPr>
          <w:rFonts w:ascii="Arial" w:eastAsia="Times New Roman" w:hAnsi="Arial" w:cs="Arial"/>
          <w:color w:val="525252"/>
          <w:lang w:val="en-GB" w:eastAsia="sk-SK"/>
        </w:rPr>
        <w:t xml:space="preserve"> and</w:t>
      </w:r>
      <w:r w:rsidRPr="00ED1A08">
        <w:rPr>
          <w:rFonts w:ascii="Arial" w:eastAsia="Times New Roman" w:hAnsi="Arial" w:cs="Arial"/>
          <w:color w:val="525252"/>
          <w:lang w:val="en-GB" w:eastAsia="sk-SK"/>
        </w:rPr>
        <w:t xml:space="preserve"> enters into the financial analysis</w:t>
      </w:r>
      <w:r>
        <w:rPr>
          <w:rFonts w:ascii="Arial" w:eastAsia="Times New Roman" w:hAnsi="Arial" w:cs="Arial"/>
          <w:color w:val="525252"/>
          <w:lang w:val="en-GB" w:eastAsia="sk-SK"/>
        </w:rPr>
        <w:t xml:space="preserve"> in discounted value of </w:t>
      </w:r>
      <w:r w:rsidRPr="0099030B">
        <w:rPr>
          <w:rFonts w:ascii="Arial" w:eastAsia="Times New Roman" w:hAnsi="Arial" w:cs="Arial"/>
          <w:color w:val="525252"/>
          <w:lang w:eastAsia="sk-SK"/>
        </w:rPr>
        <w:t>40 127 515 EUR</w:t>
      </w:r>
      <w:r w:rsidRPr="00ED1A08">
        <w:rPr>
          <w:rFonts w:ascii="Arial" w:eastAsia="Times New Roman" w:hAnsi="Arial" w:cs="Arial"/>
          <w:color w:val="525252"/>
          <w:lang w:val="en-GB" w:eastAsia="sk-SK"/>
        </w:rPr>
        <w:t>.</w:t>
      </w:r>
    </w:p>
    <w:tbl>
      <w:tblPr>
        <w:tblW w:w="9000" w:type="dxa"/>
        <w:tblInd w:w="-10" w:type="dxa"/>
        <w:tblLook w:val="04A0" w:firstRow="1" w:lastRow="0" w:firstColumn="1" w:lastColumn="0" w:noHBand="0" w:noVBand="1"/>
      </w:tblPr>
      <w:tblGrid>
        <w:gridCol w:w="5400"/>
        <w:gridCol w:w="3600"/>
      </w:tblGrid>
      <w:tr w:rsidR="00ED1A08" w:rsidRPr="00ED1A08" w:rsidTr="00C2032E">
        <w:trPr>
          <w:trHeight w:val="255"/>
        </w:trPr>
        <w:tc>
          <w:tcPr>
            <w:tcW w:w="5400" w:type="dxa"/>
            <w:tcBorders>
              <w:top w:val="single" w:sz="8" w:space="0" w:color="auto"/>
              <w:left w:val="single" w:sz="8" w:space="0" w:color="auto"/>
              <w:bottom w:val="single" w:sz="8" w:space="0" w:color="auto"/>
              <w:right w:val="nil"/>
            </w:tcBorders>
            <w:shd w:val="clear" w:color="000000" w:fill="7F7F7F"/>
            <w:vAlign w:val="center"/>
            <w:hideMark/>
          </w:tcPr>
          <w:p w:rsidR="00ED1A08" w:rsidRPr="00ED1A08" w:rsidRDefault="00ED1A08" w:rsidP="00C2032E">
            <w:pPr>
              <w:rPr>
                <w:rFonts w:ascii="Arial" w:eastAsia="Times New Roman" w:hAnsi="Arial" w:cs="Arial"/>
                <w:b/>
                <w:bCs/>
                <w:color w:val="FFFFFF"/>
                <w:sz w:val="22"/>
                <w:szCs w:val="18"/>
                <w:lang w:val="en-GB"/>
              </w:rPr>
            </w:pPr>
            <w:r w:rsidRPr="00ED1A08">
              <w:rPr>
                <w:rFonts w:ascii="Arial" w:eastAsia="Times New Roman" w:hAnsi="Arial" w:cs="Arial"/>
                <w:b/>
                <w:bCs/>
                <w:color w:val="FFFFFF"/>
                <w:sz w:val="22"/>
                <w:szCs w:val="18"/>
                <w:lang w:val="en-GB"/>
              </w:rPr>
              <w:t>Revenues</w:t>
            </w:r>
            <w:r w:rsidRPr="00ED1A08">
              <w:rPr>
                <w:rFonts w:ascii="Arial" w:eastAsia="Times New Roman" w:hAnsi="Arial" w:cs="Arial"/>
                <w:b/>
                <w:bCs/>
                <w:color w:val="FFFFFF"/>
                <w:sz w:val="22"/>
                <w:szCs w:val="18"/>
                <w:lang w:val="en-GB"/>
              </w:rPr>
              <w:t>,  EUR</w:t>
            </w:r>
          </w:p>
        </w:tc>
        <w:tc>
          <w:tcPr>
            <w:tcW w:w="3600" w:type="dxa"/>
            <w:tcBorders>
              <w:top w:val="single" w:sz="8" w:space="0" w:color="auto"/>
              <w:left w:val="nil"/>
              <w:bottom w:val="single" w:sz="8" w:space="0" w:color="auto"/>
              <w:right w:val="single" w:sz="8" w:space="0" w:color="auto"/>
            </w:tcBorders>
            <w:shd w:val="clear" w:color="000000" w:fill="7F7F7F"/>
            <w:vAlign w:val="center"/>
            <w:hideMark/>
          </w:tcPr>
          <w:p w:rsidR="00ED1A08" w:rsidRPr="00ED1A08" w:rsidRDefault="00ED1A08" w:rsidP="00C2032E">
            <w:pPr>
              <w:jc w:val="center"/>
              <w:rPr>
                <w:rFonts w:ascii="Arial" w:eastAsia="Times New Roman" w:hAnsi="Arial" w:cs="Arial"/>
                <w:b/>
                <w:bCs/>
                <w:color w:val="FFFFFF"/>
                <w:sz w:val="22"/>
                <w:szCs w:val="18"/>
                <w:lang w:val="en-GB"/>
              </w:rPr>
            </w:pPr>
            <w:r w:rsidRPr="00ED1A08">
              <w:rPr>
                <w:rFonts w:ascii="Arial" w:eastAsia="Times New Roman" w:hAnsi="Arial" w:cs="Arial"/>
                <w:b/>
                <w:bCs/>
                <w:color w:val="FFFFFF"/>
                <w:sz w:val="22"/>
                <w:szCs w:val="18"/>
                <w:lang w:val="en-GB"/>
              </w:rPr>
              <w:t>Total</w:t>
            </w:r>
          </w:p>
        </w:tc>
      </w:tr>
      <w:tr w:rsidR="00ED1A08" w:rsidRPr="00ED1A08"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ED1A08" w:rsidRPr="00ED1A08" w:rsidRDefault="00ED1A08" w:rsidP="00C2032E">
            <w:pPr>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 xml:space="preserve">With project </w:t>
            </w:r>
            <w:r w:rsidRPr="00ED1A08">
              <w:rPr>
                <w:rFonts w:ascii="Arial" w:eastAsia="Times New Roman" w:hAnsi="Arial" w:cs="Arial"/>
                <w:color w:val="000000"/>
                <w:sz w:val="22"/>
                <w:szCs w:val="18"/>
                <w:lang w:val="en-GB"/>
              </w:rPr>
              <w:t>– D1</w:t>
            </w:r>
          </w:p>
        </w:tc>
        <w:tc>
          <w:tcPr>
            <w:tcW w:w="3600" w:type="dxa"/>
            <w:tcBorders>
              <w:top w:val="nil"/>
              <w:left w:val="nil"/>
              <w:bottom w:val="single" w:sz="8" w:space="0" w:color="auto"/>
              <w:right w:val="single" w:sz="8" w:space="0" w:color="auto"/>
            </w:tcBorders>
            <w:shd w:val="clear" w:color="auto" w:fill="auto"/>
            <w:vAlign w:val="center"/>
          </w:tcPr>
          <w:p w:rsidR="00ED1A08" w:rsidRPr="00ED1A08" w:rsidRDefault="00ED1A08" w:rsidP="00C2032E">
            <w:pPr>
              <w:jc w:val="right"/>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78 850 583</w:t>
            </w:r>
          </w:p>
        </w:tc>
      </w:tr>
      <w:tr w:rsidR="00ED1A08" w:rsidRPr="00ED1A08"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ED1A08" w:rsidRPr="00ED1A08" w:rsidRDefault="00ED1A08" w:rsidP="00C2032E">
            <w:pPr>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 xml:space="preserve">With project </w:t>
            </w:r>
            <w:r w:rsidRPr="00ED1A08">
              <w:rPr>
                <w:rFonts w:ascii="Arial" w:eastAsia="Times New Roman" w:hAnsi="Arial" w:cs="Arial"/>
                <w:color w:val="000000"/>
                <w:sz w:val="22"/>
                <w:szCs w:val="18"/>
                <w:lang w:val="en-GB"/>
              </w:rPr>
              <w:t>–</w:t>
            </w:r>
            <w:r w:rsidRPr="00ED1A08">
              <w:rPr>
                <w:rFonts w:ascii="Arial" w:eastAsia="Times New Roman" w:hAnsi="Arial" w:cs="Arial"/>
                <w:color w:val="000000"/>
                <w:sz w:val="22"/>
                <w:szCs w:val="18"/>
                <w:lang w:val="en-GB"/>
              </w:rPr>
              <w:t xml:space="preserve"> </w:t>
            </w:r>
            <w:r w:rsidRPr="00ED1A08">
              <w:rPr>
                <w:rFonts w:ascii="Arial" w:eastAsia="Times New Roman" w:hAnsi="Arial" w:cs="Arial"/>
                <w:color w:val="000000"/>
                <w:sz w:val="22"/>
                <w:szCs w:val="18"/>
                <w:lang w:val="en-GB"/>
              </w:rPr>
              <w:t>parallel road</w:t>
            </w:r>
          </w:p>
        </w:tc>
        <w:tc>
          <w:tcPr>
            <w:tcW w:w="3600" w:type="dxa"/>
            <w:tcBorders>
              <w:top w:val="nil"/>
              <w:left w:val="nil"/>
              <w:bottom w:val="single" w:sz="8" w:space="0" w:color="auto"/>
              <w:right w:val="single" w:sz="8" w:space="0" w:color="auto"/>
            </w:tcBorders>
            <w:shd w:val="clear" w:color="auto" w:fill="auto"/>
            <w:vAlign w:val="center"/>
          </w:tcPr>
          <w:p w:rsidR="00ED1A08" w:rsidRPr="00ED1A08" w:rsidRDefault="00ED1A08" w:rsidP="00C2032E">
            <w:pPr>
              <w:jc w:val="right"/>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4 175 987</w:t>
            </w:r>
          </w:p>
        </w:tc>
      </w:tr>
      <w:tr w:rsidR="00ED1A08" w:rsidRPr="00ED1A08"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ED1A08" w:rsidRPr="00ED1A08" w:rsidRDefault="00ED1A08" w:rsidP="00C2032E">
            <w:pPr>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With</w:t>
            </w:r>
            <w:r w:rsidRPr="00ED1A08">
              <w:rPr>
                <w:rFonts w:ascii="Arial" w:eastAsia="Times New Roman" w:hAnsi="Arial" w:cs="Arial"/>
                <w:color w:val="000000"/>
                <w:sz w:val="22"/>
                <w:szCs w:val="18"/>
                <w:lang w:val="en-GB"/>
              </w:rPr>
              <w:t>out</w:t>
            </w:r>
            <w:r w:rsidRPr="00ED1A08">
              <w:rPr>
                <w:rFonts w:ascii="Arial" w:eastAsia="Times New Roman" w:hAnsi="Arial" w:cs="Arial"/>
                <w:color w:val="000000"/>
                <w:sz w:val="22"/>
                <w:szCs w:val="18"/>
                <w:lang w:val="en-GB"/>
              </w:rPr>
              <w:t xml:space="preserve"> project - parallel road</w:t>
            </w:r>
          </w:p>
        </w:tc>
        <w:tc>
          <w:tcPr>
            <w:tcW w:w="3600" w:type="dxa"/>
            <w:tcBorders>
              <w:top w:val="nil"/>
              <w:left w:val="nil"/>
              <w:bottom w:val="single" w:sz="8" w:space="0" w:color="auto"/>
              <w:right w:val="single" w:sz="8" w:space="0" w:color="auto"/>
            </w:tcBorders>
            <w:shd w:val="clear" w:color="auto" w:fill="auto"/>
            <w:vAlign w:val="center"/>
          </w:tcPr>
          <w:p w:rsidR="00ED1A08" w:rsidRPr="00ED1A08" w:rsidRDefault="00ED1A08" w:rsidP="00C2032E">
            <w:pPr>
              <w:jc w:val="right"/>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87 402 347</w:t>
            </w:r>
          </w:p>
        </w:tc>
      </w:tr>
      <w:tr w:rsidR="00ED1A08" w:rsidRPr="00ED1A08" w:rsidTr="00C2032E">
        <w:trPr>
          <w:trHeight w:val="255"/>
        </w:trPr>
        <w:tc>
          <w:tcPr>
            <w:tcW w:w="5400" w:type="dxa"/>
            <w:tcBorders>
              <w:top w:val="nil"/>
              <w:left w:val="single" w:sz="8" w:space="0" w:color="auto"/>
              <w:bottom w:val="single" w:sz="8" w:space="0" w:color="auto"/>
              <w:right w:val="single" w:sz="8" w:space="0" w:color="auto"/>
            </w:tcBorders>
            <w:shd w:val="clear" w:color="000000" w:fill="7F7F7F"/>
            <w:vAlign w:val="center"/>
            <w:hideMark/>
          </w:tcPr>
          <w:p w:rsidR="00ED1A08" w:rsidRPr="00ED1A08" w:rsidRDefault="00ED1A08" w:rsidP="00ED1A08">
            <w:pPr>
              <w:rPr>
                <w:rFonts w:ascii="Arial" w:eastAsia="Times New Roman" w:hAnsi="Arial" w:cs="Arial"/>
                <w:b/>
                <w:bCs/>
                <w:color w:val="FFFFFF"/>
                <w:sz w:val="22"/>
                <w:szCs w:val="18"/>
                <w:lang w:val="en-GB"/>
              </w:rPr>
            </w:pPr>
            <w:r>
              <w:rPr>
                <w:rFonts w:ascii="Arial" w:eastAsia="Times New Roman" w:hAnsi="Arial" w:cs="Arial"/>
                <w:b/>
                <w:bCs/>
                <w:color w:val="FFFFFF"/>
                <w:sz w:val="22"/>
                <w:szCs w:val="18"/>
                <w:lang w:val="en-GB"/>
              </w:rPr>
              <w:t>Incremental revenues</w:t>
            </w:r>
          </w:p>
        </w:tc>
        <w:tc>
          <w:tcPr>
            <w:tcW w:w="3600" w:type="dxa"/>
            <w:tcBorders>
              <w:top w:val="nil"/>
              <w:left w:val="nil"/>
              <w:bottom w:val="single" w:sz="8" w:space="0" w:color="auto"/>
              <w:right w:val="single" w:sz="8" w:space="0" w:color="auto"/>
            </w:tcBorders>
            <w:shd w:val="clear" w:color="auto" w:fill="auto"/>
            <w:vAlign w:val="center"/>
          </w:tcPr>
          <w:p w:rsidR="00ED1A08" w:rsidRPr="00ED1A08" w:rsidRDefault="00ED1A08" w:rsidP="00C2032E">
            <w:pPr>
              <w:jc w:val="right"/>
              <w:rPr>
                <w:rFonts w:ascii="Arial" w:eastAsia="Times New Roman" w:hAnsi="Arial" w:cs="Arial"/>
                <w:color w:val="000000"/>
                <w:sz w:val="22"/>
                <w:szCs w:val="18"/>
                <w:lang w:val="en-GB"/>
              </w:rPr>
            </w:pPr>
            <w:r w:rsidRPr="00ED1A08">
              <w:rPr>
                <w:rFonts w:ascii="Arial" w:eastAsia="Times New Roman" w:hAnsi="Arial" w:cs="Arial"/>
                <w:color w:val="000000"/>
                <w:sz w:val="22"/>
                <w:szCs w:val="18"/>
                <w:lang w:val="en-GB"/>
              </w:rPr>
              <w:t>-4 375 777</w:t>
            </w:r>
          </w:p>
        </w:tc>
      </w:tr>
    </w:tbl>
    <w:p w:rsidR="00ED1A08" w:rsidRDefault="00ED1A08" w:rsidP="00505309">
      <w:pPr>
        <w:shd w:val="clear" w:color="auto" w:fill="FFFFFF"/>
        <w:tabs>
          <w:tab w:val="left" w:pos="7760"/>
        </w:tabs>
        <w:spacing w:before="120" w:after="120"/>
        <w:jc w:val="both"/>
        <w:rPr>
          <w:rFonts w:ascii="Arial" w:eastAsia="Times New Roman" w:hAnsi="Arial" w:cs="Arial"/>
          <w:color w:val="525252"/>
          <w:lang w:val="en-GB" w:eastAsia="sk-SK"/>
        </w:rPr>
      </w:pPr>
    </w:p>
    <w:p w:rsidR="00ED1A08" w:rsidRDefault="00D11EEE" w:rsidP="00505309">
      <w:pPr>
        <w:shd w:val="clear" w:color="auto" w:fill="FFFFFF"/>
        <w:tabs>
          <w:tab w:val="left" w:pos="7760"/>
        </w:tabs>
        <w:spacing w:before="120" w:after="120"/>
        <w:jc w:val="both"/>
        <w:rPr>
          <w:rFonts w:ascii="Arial" w:eastAsia="Times New Roman" w:hAnsi="Arial" w:cs="Arial"/>
          <w:color w:val="525252"/>
          <w:lang w:val="en-GB" w:eastAsia="sk-SK"/>
        </w:rPr>
      </w:pPr>
      <w:r w:rsidRPr="00D11EEE">
        <w:rPr>
          <w:rFonts w:ascii="Arial" w:eastAsia="Times New Roman" w:hAnsi="Arial" w:cs="Arial"/>
          <w:color w:val="525252"/>
          <w:lang w:val="en-GB" w:eastAsia="sk-SK"/>
        </w:rPr>
        <w:lastRenderedPageBreak/>
        <w:t xml:space="preserve">Operating revenues are generated from toll collection on road sections that are planned to be toll collection bound. </w:t>
      </w:r>
      <w:r>
        <w:rPr>
          <w:rFonts w:ascii="Arial" w:eastAsia="Times New Roman" w:hAnsi="Arial" w:cs="Arial"/>
          <w:color w:val="525252"/>
          <w:lang w:val="en-GB" w:eastAsia="sk-SK"/>
        </w:rPr>
        <w:t>A</w:t>
      </w:r>
      <w:r w:rsidRPr="00D11EEE">
        <w:rPr>
          <w:rFonts w:ascii="Arial" w:eastAsia="Times New Roman" w:hAnsi="Arial" w:cs="Arial"/>
          <w:color w:val="525252"/>
          <w:lang w:val="en-GB" w:eastAsia="sk-SK"/>
        </w:rPr>
        <w:t xml:space="preserve"> combined toll system is operated on selected network of motorways, expressways and other highways. The use of toll stickers is compulsory for vehicles up to 3.5 tons. Heavy vehicles are obliged to use introduced electronic toll collection system.</w:t>
      </w:r>
      <w:r>
        <w:rPr>
          <w:rFonts w:ascii="Arial" w:eastAsia="Times New Roman" w:hAnsi="Arial" w:cs="Arial"/>
          <w:color w:val="525252"/>
          <w:lang w:val="en-GB" w:eastAsia="sk-SK"/>
        </w:rPr>
        <w:t xml:space="preserve"> Discounted incremental revenues represents value of </w:t>
      </w:r>
      <w:r>
        <w:rPr>
          <w:rFonts w:ascii="Arial" w:eastAsia="Times New Roman" w:hAnsi="Arial" w:cs="Arial"/>
          <w:color w:val="525252"/>
          <w:lang w:eastAsia="sk-SK"/>
        </w:rPr>
        <w:t>-5 349 169 EUR</w:t>
      </w:r>
      <w:r>
        <w:rPr>
          <w:rFonts w:ascii="Arial" w:eastAsia="Times New Roman" w:hAnsi="Arial" w:cs="Arial"/>
          <w:color w:val="525252"/>
          <w:lang w:eastAsia="sk-SK"/>
        </w:rPr>
        <w:t>.</w:t>
      </w:r>
      <w:r>
        <w:rPr>
          <w:rFonts w:ascii="Arial" w:eastAsia="Times New Roman" w:hAnsi="Arial" w:cs="Arial"/>
          <w:color w:val="525252"/>
          <w:lang w:val="en-GB" w:eastAsia="sk-SK"/>
        </w:rPr>
        <w:t xml:space="preserve"> T</w:t>
      </w:r>
      <w:r w:rsidRPr="00D11EEE">
        <w:rPr>
          <w:rFonts w:ascii="Arial" w:eastAsia="Times New Roman" w:hAnsi="Arial" w:cs="Arial"/>
          <w:color w:val="525252"/>
          <w:lang w:val="en-GB" w:eastAsia="sk-SK"/>
        </w:rPr>
        <w:t>he updated CBA includes the difference of toll revenues between the D</w:t>
      </w:r>
      <w:r>
        <w:rPr>
          <w:rFonts w:ascii="Arial" w:eastAsia="Times New Roman" w:hAnsi="Arial" w:cs="Arial"/>
          <w:color w:val="525252"/>
          <w:lang w:val="en-GB" w:eastAsia="sk-SK"/>
        </w:rPr>
        <w:t>1</w:t>
      </w:r>
      <w:r w:rsidRPr="00D11EEE">
        <w:rPr>
          <w:rFonts w:ascii="Arial" w:eastAsia="Times New Roman" w:hAnsi="Arial" w:cs="Arial"/>
          <w:color w:val="525252"/>
          <w:lang w:val="en-GB" w:eastAsia="sk-SK"/>
        </w:rPr>
        <w:t xml:space="preserve"> section and the parallel road I/</w:t>
      </w:r>
      <w:r>
        <w:rPr>
          <w:rFonts w:ascii="Arial" w:eastAsia="Times New Roman" w:hAnsi="Arial" w:cs="Arial"/>
          <w:color w:val="525252"/>
          <w:lang w:val="en-GB" w:eastAsia="sk-SK"/>
        </w:rPr>
        <w:t>18</w:t>
      </w:r>
      <w:r w:rsidRPr="00D11EEE">
        <w:rPr>
          <w:rFonts w:ascii="Arial" w:eastAsia="Times New Roman" w:hAnsi="Arial" w:cs="Arial"/>
          <w:color w:val="525252"/>
          <w:lang w:val="en-GB" w:eastAsia="sk-SK"/>
        </w:rPr>
        <w:t>.</w:t>
      </w:r>
    </w:p>
    <w:tbl>
      <w:tblPr>
        <w:tblW w:w="9000" w:type="dxa"/>
        <w:tblInd w:w="-10" w:type="dxa"/>
        <w:tblLook w:val="04A0" w:firstRow="1" w:lastRow="0" w:firstColumn="1" w:lastColumn="0" w:noHBand="0" w:noVBand="1"/>
      </w:tblPr>
      <w:tblGrid>
        <w:gridCol w:w="5400"/>
        <w:gridCol w:w="3600"/>
      </w:tblGrid>
      <w:tr w:rsidR="00D11EEE" w:rsidRPr="00D81FD3" w:rsidTr="00C2032E">
        <w:trPr>
          <w:trHeight w:val="255"/>
        </w:trPr>
        <w:tc>
          <w:tcPr>
            <w:tcW w:w="5400" w:type="dxa"/>
            <w:tcBorders>
              <w:top w:val="single" w:sz="8" w:space="0" w:color="auto"/>
              <w:left w:val="single" w:sz="8" w:space="0" w:color="auto"/>
              <w:bottom w:val="single" w:sz="8" w:space="0" w:color="auto"/>
              <w:right w:val="nil"/>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proofErr w:type="spellStart"/>
            <w:r w:rsidRPr="00D11EEE">
              <w:rPr>
                <w:rFonts w:ascii="Arial" w:eastAsia="Times New Roman" w:hAnsi="Arial" w:cs="Arial"/>
                <w:b/>
                <w:bCs/>
                <w:color w:val="FFFFFF"/>
                <w:sz w:val="22"/>
                <w:szCs w:val="18"/>
              </w:rPr>
              <w:t>Operation</w:t>
            </w:r>
            <w:proofErr w:type="spellEnd"/>
            <w:r w:rsidRPr="00D11EEE">
              <w:rPr>
                <w:rFonts w:ascii="Arial" w:eastAsia="Times New Roman" w:hAnsi="Arial" w:cs="Arial"/>
                <w:b/>
                <w:bCs/>
                <w:color w:val="FFFFFF"/>
                <w:sz w:val="22"/>
                <w:szCs w:val="18"/>
              </w:rPr>
              <w:t xml:space="preserve"> &amp; </w:t>
            </w:r>
            <w:proofErr w:type="spellStart"/>
            <w:r w:rsidRPr="00D11EEE">
              <w:rPr>
                <w:rFonts w:ascii="Arial" w:eastAsia="Times New Roman" w:hAnsi="Arial" w:cs="Arial"/>
                <w:b/>
                <w:bCs/>
                <w:color w:val="FFFFFF"/>
                <w:sz w:val="22"/>
                <w:szCs w:val="18"/>
              </w:rPr>
              <w:t>Maintenance</w:t>
            </w:r>
            <w:proofErr w:type="spellEnd"/>
            <w:r w:rsidRPr="00D11EEE">
              <w:rPr>
                <w:rFonts w:ascii="Arial" w:eastAsia="Times New Roman" w:hAnsi="Arial" w:cs="Arial"/>
                <w:b/>
                <w:bCs/>
                <w:color w:val="FFFFFF"/>
                <w:sz w:val="22"/>
                <w:szCs w:val="18"/>
              </w:rPr>
              <w:t xml:space="preserve"> </w:t>
            </w:r>
            <w:proofErr w:type="spellStart"/>
            <w:r w:rsidRPr="00D11EEE">
              <w:rPr>
                <w:rFonts w:ascii="Arial" w:eastAsia="Times New Roman" w:hAnsi="Arial" w:cs="Arial"/>
                <w:b/>
                <w:bCs/>
                <w:color w:val="FFFFFF"/>
                <w:sz w:val="22"/>
                <w:szCs w:val="18"/>
              </w:rPr>
              <w:t>costs</w:t>
            </w:r>
            <w:proofErr w:type="spellEnd"/>
            <w:r w:rsidRPr="00D81FD3">
              <w:rPr>
                <w:rFonts w:ascii="Arial" w:eastAsia="Times New Roman" w:hAnsi="Arial" w:cs="Arial"/>
                <w:b/>
                <w:bCs/>
                <w:color w:val="FFFFFF"/>
                <w:sz w:val="22"/>
                <w:szCs w:val="18"/>
              </w:rPr>
              <w:t>, EUR</w:t>
            </w:r>
          </w:p>
        </w:tc>
        <w:tc>
          <w:tcPr>
            <w:tcW w:w="3600" w:type="dxa"/>
            <w:tcBorders>
              <w:top w:val="single" w:sz="8" w:space="0" w:color="auto"/>
              <w:left w:val="nil"/>
              <w:bottom w:val="single" w:sz="8" w:space="0" w:color="auto"/>
              <w:right w:val="single" w:sz="8" w:space="0" w:color="auto"/>
            </w:tcBorders>
            <w:shd w:val="clear" w:color="000000" w:fill="7F7F7F"/>
            <w:vAlign w:val="center"/>
            <w:hideMark/>
          </w:tcPr>
          <w:p w:rsidR="00D11EEE" w:rsidRPr="00D81FD3" w:rsidRDefault="00D11EEE" w:rsidP="00C2032E">
            <w:pPr>
              <w:jc w:val="center"/>
              <w:rPr>
                <w:rFonts w:ascii="Arial" w:eastAsia="Times New Roman" w:hAnsi="Arial" w:cs="Arial"/>
                <w:b/>
                <w:bCs/>
                <w:color w:val="FFFFFF"/>
                <w:sz w:val="22"/>
                <w:szCs w:val="18"/>
              </w:rPr>
            </w:pPr>
            <w:proofErr w:type="spellStart"/>
            <w:r>
              <w:rPr>
                <w:rFonts w:ascii="Arial" w:eastAsia="Times New Roman" w:hAnsi="Arial" w:cs="Arial"/>
                <w:b/>
                <w:bCs/>
                <w:color w:val="FFFFFF"/>
                <w:sz w:val="22"/>
                <w:szCs w:val="18"/>
              </w:rPr>
              <w:t>Total</w:t>
            </w:r>
            <w:proofErr w:type="spellEnd"/>
          </w:p>
        </w:tc>
      </w:tr>
      <w:tr w:rsidR="00D11EEE" w:rsidRPr="00D81FD3" w:rsidTr="00C2032E">
        <w:trPr>
          <w:trHeight w:val="255"/>
        </w:trPr>
        <w:tc>
          <w:tcPr>
            <w:tcW w:w="5400" w:type="dxa"/>
            <w:tcBorders>
              <w:top w:val="nil"/>
              <w:left w:val="single" w:sz="8" w:space="0" w:color="auto"/>
              <w:bottom w:val="single" w:sz="8" w:space="0" w:color="auto"/>
              <w:right w:val="nil"/>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proofErr w:type="spellStart"/>
            <w:r w:rsidRPr="00D11EEE">
              <w:rPr>
                <w:rFonts w:ascii="Arial" w:eastAsia="Times New Roman" w:hAnsi="Arial" w:cs="Arial"/>
                <w:b/>
                <w:bCs/>
                <w:color w:val="FFFFFF"/>
                <w:sz w:val="22"/>
                <w:szCs w:val="18"/>
              </w:rPr>
              <w:t>With</w:t>
            </w:r>
            <w:proofErr w:type="spellEnd"/>
            <w:r w:rsidRPr="00D11EEE">
              <w:rPr>
                <w:rFonts w:ascii="Arial" w:eastAsia="Times New Roman" w:hAnsi="Arial" w:cs="Arial"/>
                <w:b/>
                <w:bCs/>
                <w:color w:val="FFFFFF"/>
                <w:sz w:val="22"/>
                <w:szCs w:val="18"/>
              </w:rPr>
              <w:t xml:space="preserve"> </w:t>
            </w:r>
            <w:proofErr w:type="spellStart"/>
            <w:r w:rsidRPr="00D11EEE">
              <w:rPr>
                <w:rFonts w:ascii="Arial" w:eastAsia="Times New Roman" w:hAnsi="Arial" w:cs="Arial"/>
                <w:b/>
                <w:bCs/>
                <w:color w:val="FFFFFF"/>
                <w:sz w:val="22"/>
                <w:szCs w:val="18"/>
              </w:rPr>
              <w:t>project</w:t>
            </w:r>
            <w:proofErr w:type="spellEnd"/>
            <w:r w:rsidRPr="00D11EEE">
              <w:rPr>
                <w:rFonts w:ascii="Arial" w:eastAsia="Times New Roman" w:hAnsi="Arial" w:cs="Arial"/>
                <w:b/>
                <w:bCs/>
                <w:color w:val="FFFFFF"/>
                <w:sz w:val="22"/>
                <w:szCs w:val="18"/>
              </w:rPr>
              <w:t xml:space="preserve"> – D1</w:t>
            </w:r>
          </w:p>
        </w:tc>
        <w:tc>
          <w:tcPr>
            <w:tcW w:w="3600" w:type="dxa"/>
            <w:tcBorders>
              <w:top w:val="nil"/>
              <w:left w:val="nil"/>
              <w:bottom w:val="single" w:sz="8" w:space="0" w:color="auto"/>
              <w:right w:val="single" w:sz="8" w:space="0" w:color="auto"/>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r w:rsidRPr="00D81FD3">
              <w:rPr>
                <w:rFonts w:ascii="Arial" w:hAnsi="Arial" w:cs="Arial"/>
                <w:b/>
                <w:bCs/>
                <w:color w:val="FFFFFF"/>
                <w:sz w:val="22"/>
                <w:szCs w:val="18"/>
              </w:rPr>
              <w:t> </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D11EEE" w:rsidRPr="00D81FD3" w:rsidRDefault="00D11EEE" w:rsidP="00C2032E">
            <w:pPr>
              <w:rPr>
                <w:rFonts w:ascii="Arial" w:eastAsia="Times New Roman" w:hAnsi="Arial" w:cs="Arial"/>
                <w:color w:val="000000"/>
                <w:sz w:val="22"/>
                <w:szCs w:val="18"/>
              </w:rPr>
            </w:pPr>
            <w:proofErr w:type="spellStart"/>
            <w:r w:rsidRPr="00D11EEE">
              <w:rPr>
                <w:rFonts w:ascii="Arial" w:eastAsia="Times New Roman" w:hAnsi="Arial" w:cs="Arial"/>
                <w:color w:val="000000"/>
                <w:sz w:val="22"/>
                <w:szCs w:val="18"/>
              </w:rPr>
              <w:t>Routine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maintenance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costs</w:t>
            </w:r>
            <w:proofErr w:type="spellEnd"/>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C2032E">
            <w:pPr>
              <w:jc w:val="right"/>
              <w:rPr>
                <w:rFonts w:ascii="Arial" w:eastAsia="Times New Roman" w:hAnsi="Arial" w:cs="Arial"/>
                <w:color w:val="000000"/>
                <w:sz w:val="22"/>
                <w:szCs w:val="18"/>
              </w:rPr>
            </w:pPr>
            <w:r w:rsidRPr="00D81FD3">
              <w:rPr>
                <w:rFonts w:ascii="Arial" w:hAnsi="Arial" w:cs="Arial"/>
                <w:color w:val="000000"/>
                <w:sz w:val="22"/>
                <w:szCs w:val="18"/>
              </w:rPr>
              <w:t>54,253,246</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D11EEE" w:rsidRPr="00D81FD3" w:rsidRDefault="00D11EEE" w:rsidP="00C2032E">
            <w:pPr>
              <w:rPr>
                <w:rFonts w:ascii="Arial" w:eastAsia="Times New Roman" w:hAnsi="Arial" w:cs="Arial"/>
                <w:color w:val="000000"/>
                <w:sz w:val="22"/>
                <w:szCs w:val="18"/>
              </w:rPr>
            </w:pPr>
            <w:proofErr w:type="spellStart"/>
            <w:r w:rsidRPr="00D11EEE">
              <w:rPr>
                <w:rFonts w:ascii="Arial" w:eastAsia="Times New Roman" w:hAnsi="Arial" w:cs="Arial"/>
                <w:color w:val="000000"/>
                <w:sz w:val="22"/>
                <w:szCs w:val="18"/>
              </w:rPr>
              <w:t>Periodic</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maintenance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costs</w:t>
            </w:r>
            <w:proofErr w:type="spellEnd"/>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C2032E">
            <w:pPr>
              <w:jc w:val="right"/>
              <w:rPr>
                <w:rFonts w:ascii="Arial" w:eastAsia="Times New Roman" w:hAnsi="Arial" w:cs="Arial"/>
                <w:color w:val="000000"/>
                <w:sz w:val="22"/>
                <w:szCs w:val="18"/>
              </w:rPr>
            </w:pPr>
            <w:r w:rsidRPr="00D81FD3">
              <w:rPr>
                <w:rFonts w:ascii="Arial" w:hAnsi="Arial" w:cs="Arial"/>
                <w:color w:val="000000"/>
                <w:sz w:val="22"/>
                <w:szCs w:val="18"/>
              </w:rPr>
              <w:t>27,978,237</w:t>
            </w:r>
          </w:p>
        </w:tc>
      </w:tr>
      <w:tr w:rsidR="00D11EEE" w:rsidRPr="00D81FD3" w:rsidTr="00C2032E">
        <w:trPr>
          <w:trHeight w:val="255"/>
        </w:trPr>
        <w:tc>
          <w:tcPr>
            <w:tcW w:w="5400" w:type="dxa"/>
            <w:tcBorders>
              <w:top w:val="nil"/>
              <w:left w:val="single" w:sz="8" w:space="0" w:color="auto"/>
              <w:bottom w:val="single" w:sz="8" w:space="0" w:color="auto"/>
              <w:right w:val="nil"/>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proofErr w:type="spellStart"/>
            <w:r w:rsidRPr="00D11EEE">
              <w:rPr>
                <w:rFonts w:ascii="Arial" w:eastAsia="Times New Roman" w:hAnsi="Arial" w:cs="Arial"/>
                <w:b/>
                <w:bCs/>
                <w:color w:val="FFFFFF"/>
                <w:sz w:val="22"/>
                <w:szCs w:val="18"/>
              </w:rPr>
              <w:t>With</w:t>
            </w:r>
            <w:proofErr w:type="spellEnd"/>
            <w:r w:rsidRPr="00D11EEE">
              <w:rPr>
                <w:rFonts w:ascii="Arial" w:eastAsia="Times New Roman" w:hAnsi="Arial" w:cs="Arial"/>
                <w:b/>
                <w:bCs/>
                <w:color w:val="FFFFFF"/>
                <w:sz w:val="22"/>
                <w:szCs w:val="18"/>
              </w:rPr>
              <w:t xml:space="preserve"> </w:t>
            </w:r>
            <w:proofErr w:type="spellStart"/>
            <w:r w:rsidRPr="00D11EEE">
              <w:rPr>
                <w:rFonts w:ascii="Arial" w:eastAsia="Times New Roman" w:hAnsi="Arial" w:cs="Arial"/>
                <w:b/>
                <w:bCs/>
                <w:color w:val="FFFFFF"/>
                <w:sz w:val="22"/>
                <w:szCs w:val="18"/>
              </w:rPr>
              <w:t>project</w:t>
            </w:r>
            <w:proofErr w:type="spellEnd"/>
            <w:r w:rsidRPr="00D11EEE">
              <w:rPr>
                <w:rFonts w:ascii="Arial" w:eastAsia="Times New Roman" w:hAnsi="Arial" w:cs="Arial"/>
                <w:b/>
                <w:bCs/>
                <w:color w:val="FFFFFF"/>
                <w:sz w:val="22"/>
                <w:szCs w:val="18"/>
              </w:rPr>
              <w:t xml:space="preserve"> – </w:t>
            </w:r>
            <w:proofErr w:type="spellStart"/>
            <w:r w:rsidRPr="00D11EEE">
              <w:rPr>
                <w:rFonts w:ascii="Arial" w:eastAsia="Times New Roman" w:hAnsi="Arial" w:cs="Arial"/>
                <w:b/>
                <w:bCs/>
                <w:color w:val="FFFFFF"/>
                <w:sz w:val="22"/>
                <w:szCs w:val="18"/>
              </w:rPr>
              <w:t>parallel</w:t>
            </w:r>
            <w:proofErr w:type="spellEnd"/>
            <w:r w:rsidRPr="00D11EEE">
              <w:rPr>
                <w:rFonts w:ascii="Arial" w:eastAsia="Times New Roman" w:hAnsi="Arial" w:cs="Arial"/>
                <w:b/>
                <w:bCs/>
                <w:color w:val="FFFFFF"/>
                <w:sz w:val="22"/>
                <w:szCs w:val="18"/>
              </w:rPr>
              <w:t xml:space="preserve"> </w:t>
            </w:r>
            <w:proofErr w:type="spellStart"/>
            <w:r w:rsidRPr="00D11EEE">
              <w:rPr>
                <w:rFonts w:ascii="Arial" w:eastAsia="Times New Roman" w:hAnsi="Arial" w:cs="Arial"/>
                <w:b/>
                <w:bCs/>
                <w:color w:val="FFFFFF"/>
                <w:sz w:val="22"/>
                <w:szCs w:val="18"/>
              </w:rPr>
              <w:t>road</w:t>
            </w:r>
            <w:proofErr w:type="spellEnd"/>
          </w:p>
        </w:tc>
        <w:tc>
          <w:tcPr>
            <w:tcW w:w="3600" w:type="dxa"/>
            <w:tcBorders>
              <w:top w:val="nil"/>
              <w:left w:val="nil"/>
              <w:bottom w:val="single" w:sz="8" w:space="0" w:color="auto"/>
              <w:right w:val="single" w:sz="8" w:space="0" w:color="auto"/>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r w:rsidRPr="00D81FD3">
              <w:rPr>
                <w:rFonts w:ascii="Arial" w:hAnsi="Arial" w:cs="Arial"/>
                <w:b/>
                <w:bCs/>
                <w:color w:val="FFFFFF"/>
                <w:sz w:val="22"/>
                <w:szCs w:val="18"/>
              </w:rPr>
              <w:t> </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D11EEE" w:rsidRPr="00D81FD3" w:rsidRDefault="00D11EEE" w:rsidP="00D11EEE">
            <w:pPr>
              <w:rPr>
                <w:rFonts w:ascii="Arial" w:eastAsia="Times New Roman" w:hAnsi="Arial" w:cs="Arial"/>
                <w:color w:val="000000"/>
                <w:sz w:val="22"/>
                <w:szCs w:val="18"/>
              </w:rPr>
            </w:pPr>
            <w:proofErr w:type="spellStart"/>
            <w:r w:rsidRPr="00D11EEE">
              <w:rPr>
                <w:rFonts w:ascii="Arial" w:eastAsia="Times New Roman" w:hAnsi="Arial" w:cs="Arial"/>
                <w:color w:val="000000"/>
                <w:sz w:val="22"/>
                <w:szCs w:val="18"/>
              </w:rPr>
              <w:t>Routine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maintenance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costs</w:t>
            </w:r>
            <w:proofErr w:type="spellEnd"/>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D11EEE">
            <w:pPr>
              <w:jc w:val="right"/>
              <w:rPr>
                <w:rFonts w:ascii="Arial" w:eastAsia="Times New Roman" w:hAnsi="Arial" w:cs="Arial"/>
                <w:color w:val="000000"/>
                <w:sz w:val="22"/>
                <w:szCs w:val="18"/>
              </w:rPr>
            </w:pPr>
            <w:r w:rsidRPr="00D81FD3">
              <w:rPr>
                <w:rFonts w:ascii="Arial" w:hAnsi="Arial" w:cs="Arial"/>
                <w:color w:val="000000"/>
                <w:sz w:val="22"/>
                <w:szCs w:val="18"/>
              </w:rPr>
              <w:t>15,733,761</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D11EEE" w:rsidRPr="00D81FD3" w:rsidRDefault="00D11EEE" w:rsidP="00D11EEE">
            <w:pPr>
              <w:rPr>
                <w:rFonts w:ascii="Arial" w:eastAsia="Times New Roman" w:hAnsi="Arial" w:cs="Arial"/>
                <w:color w:val="000000"/>
                <w:sz w:val="22"/>
                <w:szCs w:val="18"/>
              </w:rPr>
            </w:pPr>
            <w:proofErr w:type="spellStart"/>
            <w:r w:rsidRPr="00D11EEE">
              <w:rPr>
                <w:rFonts w:ascii="Arial" w:eastAsia="Times New Roman" w:hAnsi="Arial" w:cs="Arial"/>
                <w:color w:val="000000"/>
                <w:sz w:val="22"/>
                <w:szCs w:val="18"/>
              </w:rPr>
              <w:t>Periodic</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maintenance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costs</w:t>
            </w:r>
            <w:proofErr w:type="spellEnd"/>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D11EEE">
            <w:pPr>
              <w:jc w:val="right"/>
              <w:rPr>
                <w:rFonts w:ascii="Arial" w:eastAsia="Times New Roman" w:hAnsi="Arial" w:cs="Arial"/>
                <w:color w:val="000000"/>
                <w:sz w:val="22"/>
                <w:szCs w:val="18"/>
              </w:rPr>
            </w:pPr>
            <w:r w:rsidRPr="00D81FD3">
              <w:rPr>
                <w:rFonts w:ascii="Arial" w:hAnsi="Arial" w:cs="Arial"/>
                <w:color w:val="000000"/>
                <w:sz w:val="22"/>
                <w:szCs w:val="18"/>
              </w:rPr>
              <w:t>12,692,640</w:t>
            </w:r>
          </w:p>
        </w:tc>
      </w:tr>
      <w:tr w:rsidR="00D11EEE" w:rsidRPr="00D81FD3" w:rsidTr="00C2032E">
        <w:trPr>
          <w:trHeight w:val="255"/>
        </w:trPr>
        <w:tc>
          <w:tcPr>
            <w:tcW w:w="5400" w:type="dxa"/>
            <w:tcBorders>
              <w:top w:val="nil"/>
              <w:left w:val="single" w:sz="8" w:space="0" w:color="auto"/>
              <w:bottom w:val="single" w:sz="8" w:space="0" w:color="auto"/>
              <w:right w:val="nil"/>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proofErr w:type="spellStart"/>
            <w:r w:rsidRPr="00D11EEE">
              <w:rPr>
                <w:rFonts w:ascii="Arial" w:eastAsia="Times New Roman" w:hAnsi="Arial" w:cs="Arial"/>
                <w:b/>
                <w:bCs/>
                <w:color w:val="FFFFFF"/>
                <w:sz w:val="22"/>
                <w:szCs w:val="18"/>
              </w:rPr>
              <w:t>Without</w:t>
            </w:r>
            <w:proofErr w:type="spellEnd"/>
            <w:r w:rsidRPr="00D11EEE">
              <w:rPr>
                <w:rFonts w:ascii="Arial" w:eastAsia="Times New Roman" w:hAnsi="Arial" w:cs="Arial"/>
                <w:b/>
                <w:bCs/>
                <w:color w:val="FFFFFF"/>
                <w:sz w:val="22"/>
                <w:szCs w:val="18"/>
              </w:rPr>
              <w:t xml:space="preserve"> </w:t>
            </w:r>
            <w:proofErr w:type="spellStart"/>
            <w:r w:rsidRPr="00D11EEE">
              <w:rPr>
                <w:rFonts w:ascii="Arial" w:eastAsia="Times New Roman" w:hAnsi="Arial" w:cs="Arial"/>
                <w:b/>
                <w:bCs/>
                <w:color w:val="FFFFFF"/>
                <w:sz w:val="22"/>
                <w:szCs w:val="18"/>
              </w:rPr>
              <w:t>project</w:t>
            </w:r>
            <w:proofErr w:type="spellEnd"/>
            <w:r w:rsidRPr="00D11EEE">
              <w:rPr>
                <w:rFonts w:ascii="Arial" w:eastAsia="Times New Roman" w:hAnsi="Arial" w:cs="Arial"/>
                <w:b/>
                <w:bCs/>
                <w:color w:val="FFFFFF"/>
                <w:sz w:val="22"/>
                <w:szCs w:val="18"/>
              </w:rPr>
              <w:t xml:space="preserve"> - </w:t>
            </w:r>
            <w:proofErr w:type="spellStart"/>
            <w:r w:rsidRPr="00D11EEE">
              <w:rPr>
                <w:rFonts w:ascii="Arial" w:eastAsia="Times New Roman" w:hAnsi="Arial" w:cs="Arial"/>
                <w:b/>
                <w:bCs/>
                <w:color w:val="FFFFFF"/>
                <w:sz w:val="22"/>
                <w:szCs w:val="18"/>
              </w:rPr>
              <w:t>parallel</w:t>
            </w:r>
            <w:proofErr w:type="spellEnd"/>
            <w:r w:rsidRPr="00D11EEE">
              <w:rPr>
                <w:rFonts w:ascii="Arial" w:eastAsia="Times New Roman" w:hAnsi="Arial" w:cs="Arial"/>
                <w:b/>
                <w:bCs/>
                <w:color w:val="FFFFFF"/>
                <w:sz w:val="22"/>
                <w:szCs w:val="18"/>
              </w:rPr>
              <w:t xml:space="preserve"> </w:t>
            </w:r>
            <w:proofErr w:type="spellStart"/>
            <w:r w:rsidRPr="00D11EEE">
              <w:rPr>
                <w:rFonts w:ascii="Arial" w:eastAsia="Times New Roman" w:hAnsi="Arial" w:cs="Arial"/>
                <w:b/>
                <w:bCs/>
                <w:color w:val="FFFFFF"/>
                <w:sz w:val="22"/>
                <w:szCs w:val="18"/>
              </w:rPr>
              <w:t>road</w:t>
            </w:r>
            <w:proofErr w:type="spellEnd"/>
          </w:p>
        </w:tc>
        <w:tc>
          <w:tcPr>
            <w:tcW w:w="3600" w:type="dxa"/>
            <w:tcBorders>
              <w:top w:val="nil"/>
              <w:left w:val="nil"/>
              <w:bottom w:val="single" w:sz="8" w:space="0" w:color="auto"/>
              <w:right w:val="single" w:sz="8" w:space="0" w:color="auto"/>
            </w:tcBorders>
            <w:shd w:val="clear" w:color="000000" w:fill="7F7F7F"/>
            <w:vAlign w:val="center"/>
            <w:hideMark/>
          </w:tcPr>
          <w:p w:rsidR="00D11EEE" w:rsidRPr="00D81FD3" w:rsidRDefault="00D11EEE" w:rsidP="00C2032E">
            <w:pPr>
              <w:rPr>
                <w:rFonts w:ascii="Arial" w:eastAsia="Times New Roman" w:hAnsi="Arial" w:cs="Arial"/>
                <w:b/>
                <w:bCs/>
                <w:color w:val="FFFFFF"/>
                <w:sz w:val="22"/>
                <w:szCs w:val="18"/>
              </w:rPr>
            </w:pPr>
            <w:r w:rsidRPr="00D81FD3">
              <w:rPr>
                <w:rFonts w:ascii="Arial" w:hAnsi="Arial" w:cs="Arial"/>
                <w:b/>
                <w:bCs/>
                <w:color w:val="FFFFFF"/>
                <w:sz w:val="22"/>
                <w:szCs w:val="18"/>
              </w:rPr>
              <w:t> </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D11EEE" w:rsidRPr="00D81FD3" w:rsidRDefault="00D11EEE" w:rsidP="00D11EEE">
            <w:pPr>
              <w:rPr>
                <w:rFonts w:ascii="Arial" w:eastAsia="Times New Roman" w:hAnsi="Arial" w:cs="Arial"/>
                <w:color w:val="000000"/>
                <w:sz w:val="22"/>
                <w:szCs w:val="18"/>
              </w:rPr>
            </w:pPr>
            <w:proofErr w:type="spellStart"/>
            <w:r w:rsidRPr="00D11EEE">
              <w:rPr>
                <w:rFonts w:ascii="Arial" w:eastAsia="Times New Roman" w:hAnsi="Arial" w:cs="Arial"/>
                <w:color w:val="000000"/>
                <w:sz w:val="22"/>
                <w:szCs w:val="18"/>
              </w:rPr>
              <w:t>Routine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maintenance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costs</w:t>
            </w:r>
            <w:proofErr w:type="spellEnd"/>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D11EEE">
            <w:pPr>
              <w:jc w:val="right"/>
              <w:rPr>
                <w:rFonts w:ascii="Arial" w:eastAsia="Times New Roman" w:hAnsi="Arial" w:cs="Arial"/>
                <w:color w:val="000000"/>
                <w:sz w:val="22"/>
                <w:szCs w:val="18"/>
              </w:rPr>
            </w:pPr>
            <w:r w:rsidRPr="00D81FD3">
              <w:rPr>
                <w:rFonts w:ascii="Arial" w:hAnsi="Arial" w:cs="Arial"/>
                <w:color w:val="000000"/>
                <w:sz w:val="22"/>
                <w:szCs w:val="18"/>
              </w:rPr>
              <w:t>15,733,761</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D11EEE" w:rsidRPr="00D81FD3" w:rsidRDefault="00D11EEE" w:rsidP="00D11EEE">
            <w:pPr>
              <w:rPr>
                <w:rFonts w:ascii="Arial" w:eastAsia="Times New Roman" w:hAnsi="Arial" w:cs="Arial"/>
                <w:color w:val="000000"/>
                <w:sz w:val="22"/>
                <w:szCs w:val="18"/>
              </w:rPr>
            </w:pPr>
            <w:proofErr w:type="spellStart"/>
            <w:r w:rsidRPr="00D11EEE">
              <w:rPr>
                <w:rFonts w:ascii="Arial" w:eastAsia="Times New Roman" w:hAnsi="Arial" w:cs="Arial"/>
                <w:color w:val="000000"/>
                <w:sz w:val="22"/>
                <w:szCs w:val="18"/>
              </w:rPr>
              <w:t>Periodic</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maintenance</w:t>
            </w:r>
            <w:proofErr w:type="spellEnd"/>
            <w:r w:rsidRPr="00D11EEE">
              <w:rPr>
                <w:rFonts w:ascii="Arial" w:eastAsia="Times New Roman" w:hAnsi="Arial" w:cs="Arial"/>
                <w:color w:val="000000"/>
                <w:sz w:val="22"/>
                <w:szCs w:val="18"/>
              </w:rPr>
              <w:t xml:space="preserve"> </w:t>
            </w:r>
            <w:proofErr w:type="spellStart"/>
            <w:r w:rsidRPr="00D11EEE">
              <w:rPr>
                <w:rFonts w:ascii="Arial" w:eastAsia="Times New Roman" w:hAnsi="Arial" w:cs="Arial"/>
                <w:color w:val="000000"/>
                <w:sz w:val="22"/>
                <w:szCs w:val="18"/>
              </w:rPr>
              <w:t>costs</w:t>
            </w:r>
            <w:proofErr w:type="spellEnd"/>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D11EEE">
            <w:pPr>
              <w:jc w:val="right"/>
              <w:rPr>
                <w:rFonts w:ascii="Arial" w:eastAsia="Times New Roman" w:hAnsi="Arial" w:cs="Arial"/>
                <w:color w:val="000000"/>
                <w:sz w:val="22"/>
                <w:szCs w:val="18"/>
              </w:rPr>
            </w:pPr>
            <w:r w:rsidRPr="00D81FD3">
              <w:rPr>
                <w:rFonts w:ascii="Arial" w:hAnsi="Arial" w:cs="Arial"/>
                <w:color w:val="000000"/>
                <w:sz w:val="22"/>
                <w:szCs w:val="18"/>
              </w:rPr>
              <w:t>20,501,668</w:t>
            </w:r>
          </w:p>
        </w:tc>
      </w:tr>
      <w:tr w:rsidR="00D11EEE" w:rsidRPr="00D81FD3" w:rsidTr="00C2032E">
        <w:trPr>
          <w:trHeight w:val="255"/>
        </w:trPr>
        <w:tc>
          <w:tcPr>
            <w:tcW w:w="5400" w:type="dxa"/>
            <w:tcBorders>
              <w:top w:val="nil"/>
              <w:left w:val="single" w:sz="8" w:space="0" w:color="auto"/>
              <w:bottom w:val="single" w:sz="8" w:space="0" w:color="auto"/>
              <w:right w:val="single" w:sz="8" w:space="0" w:color="auto"/>
            </w:tcBorders>
            <w:shd w:val="clear" w:color="000000" w:fill="7F7F7F"/>
            <w:vAlign w:val="center"/>
            <w:hideMark/>
          </w:tcPr>
          <w:p w:rsidR="00D11EEE" w:rsidRPr="00D81FD3" w:rsidRDefault="00D11EEE" w:rsidP="00C2032E">
            <w:pPr>
              <w:jc w:val="center"/>
              <w:rPr>
                <w:rFonts w:ascii="Arial" w:eastAsia="Times New Roman" w:hAnsi="Arial" w:cs="Arial"/>
                <w:b/>
                <w:bCs/>
                <w:color w:val="FFFFFF"/>
                <w:sz w:val="22"/>
                <w:szCs w:val="18"/>
              </w:rPr>
            </w:pPr>
            <w:r w:rsidRPr="00D81FD3">
              <w:rPr>
                <w:rFonts w:ascii="Arial" w:eastAsia="Times New Roman" w:hAnsi="Arial" w:cs="Arial"/>
                <w:b/>
                <w:bCs/>
                <w:color w:val="FFFFFF"/>
                <w:sz w:val="22"/>
                <w:szCs w:val="18"/>
              </w:rPr>
              <w:t>Inkrementálne náklady na údržbu a opravy</w:t>
            </w:r>
          </w:p>
        </w:tc>
        <w:tc>
          <w:tcPr>
            <w:tcW w:w="3600" w:type="dxa"/>
            <w:tcBorders>
              <w:top w:val="nil"/>
              <w:left w:val="nil"/>
              <w:bottom w:val="single" w:sz="8" w:space="0" w:color="auto"/>
              <w:right w:val="single" w:sz="8" w:space="0" w:color="auto"/>
            </w:tcBorders>
            <w:shd w:val="clear" w:color="auto" w:fill="auto"/>
            <w:vAlign w:val="center"/>
            <w:hideMark/>
          </w:tcPr>
          <w:p w:rsidR="00D11EEE" w:rsidRPr="00D81FD3" w:rsidRDefault="00D11EEE" w:rsidP="00C2032E">
            <w:pPr>
              <w:jc w:val="right"/>
              <w:rPr>
                <w:rFonts w:ascii="Arial" w:eastAsia="Times New Roman" w:hAnsi="Arial" w:cs="Arial"/>
                <w:color w:val="000000"/>
                <w:sz w:val="22"/>
                <w:szCs w:val="18"/>
              </w:rPr>
            </w:pPr>
            <w:r w:rsidRPr="00D81FD3">
              <w:rPr>
                <w:rFonts w:ascii="Arial" w:hAnsi="Arial" w:cs="Arial"/>
                <w:color w:val="000000"/>
                <w:sz w:val="22"/>
                <w:szCs w:val="18"/>
              </w:rPr>
              <w:t>74,422,455</w:t>
            </w:r>
          </w:p>
        </w:tc>
      </w:tr>
    </w:tbl>
    <w:p w:rsidR="00D3204F" w:rsidRDefault="00D11EEE" w:rsidP="007D5560">
      <w:pPr>
        <w:shd w:val="clear" w:color="auto" w:fill="FFFFFF"/>
        <w:spacing w:before="120" w:after="120"/>
        <w:jc w:val="both"/>
        <w:rPr>
          <w:rFonts w:ascii="Arial" w:eastAsia="Times New Roman" w:hAnsi="Arial" w:cs="Arial"/>
          <w:color w:val="525252"/>
          <w:lang w:val="en-GB" w:eastAsia="sk-SK"/>
        </w:rPr>
      </w:pPr>
      <w:r>
        <w:rPr>
          <w:rFonts w:ascii="Arial" w:eastAsia="Times New Roman" w:hAnsi="Arial" w:cs="Arial"/>
          <w:color w:val="525252"/>
          <w:lang w:val="en-GB" w:eastAsia="sk-SK"/>
        </w:rPr>
        <w:t>Operation and Maintenance costs were calculated according to</w:t>
      </w:r>
      <w:r w:rsidRPr="00D11EEE">
        <w:rPr>
          <w:rFonts w:ascii="Arial" w:eastAsia="Times New Roman" w:hAnsi="Arial" w:cs="Arial"/>
          <w:color w:val="525252"/>
          <w:lang w:val="en-GB" w:eastAsia="sk-SK"/>
        </w:rPr>
        <w:t xml:space="preserve"> </w:t>
      </w:r>
      <w:r w:rsidRPr="00D11EEE">
        <w:rPr>
          <w:rFonts w:ascii="Arial" w:eastAsia="Times New Roman" w:hAnsi="Arial" w:cs="Arial"/>
          <w:color w:val="525252"/>
          <w:lang w:val="en-GB" w:eastAsia="sk-SK"/>
        </w:rPr>
        <w:t>CBA Guide OPII</w:t>
      </w:r>
      <w:r>
        <w:rPr>
          <w:rFonts w:ascii="Arial" w:eastAsia="Times New Roman" w:hAnsi="Arial" w:cs="Arial"/>
          <w:color w:val="525252"/>
          <w:lang w:val="en-GB" w:eastAsia="sk-SK"/>
        </w:rPr>
        <w:t xml:space="preserve">. </w:t>
      </w:r>
      <w:r w:rsidRPr="00D11EEE">
        <w:rPr>
          <w:rFonts w:ascii="Arial" w:eastAsia="Times New Roman" w:hAnsi="Arial" w:cs="Arial"/>
          <w:color w:val="525252"/>
          <w:lang w:val="en-GB" w:eastAsia="sk-SK"/>
        </w:rPr>
        <w:t>For</w:t>
      </w:r>
      <w:r w:rsidR="00D3204F">
        <w:rPr>
          <w:rFonts w:ascii="Arial" w:eastAsia="Times New Roman" w:hAnsi="Arial" w:cs="Arial"/>
          <w:color w:val="525252"/>
          <w:lang w:val="en-GB" w:eastAsia="sk-SK"/>
        </w:rPr>
        <w:t xml:space="preserve"> the situation Without the Project and With the Project </w:t>
      </w:r>
      <w:r w:rsidRPr="00D11EEE">
        <w:rPr>
          <w:rFonts w:ascii="Arial" w:eastAsia="Times New Roman" w:hAnsi="Arial" w:cs="Arial"/>
          <w:color w:val="525252"/>
          <w:lang w:val="en-GB" w:eastAsia="sk-SK"/>
        </w:rPr>
        <w:t xml:space="preserve"> </w:t>
      </w:r>
      <w:r w:rsidR="00D3204F">
        <w:rPr>
          <w:rFonts w:ascii="Arial" w:eastAsia="Times New Roman" w:hAnsi="Arial" w:cs="Arial"/>
          <w:color w:val="525252"/>
          <w:lang w:val="en-GB" w:eastAsia="sk-SK"/>
        </w:rPr>
        <w:t>the</w:t>
      </w:r>
      <w:r w:rsidRPr="00D11EEE">
        <w:rPr>
          <w:rFonts w:ascii="Arial" w:eastAsia="Times New Roman" w:hAnsi="Arial" w:cs="Arial"/>
          <w:color w:val="525252"/>
          <w:lang w:val="en-GB" w:eastAsia="sk-SK"/>
        </w:rPr>
        <w:t xml:space="preserve"> changes in periodicity of routine maintenance are suggested </w:t>
      </w:r>
      <w:r w:rsidR="00D3204F">
        <w:rPr>
          <w:rFonts w:ascii="Arial" w:eastAsia="Times New Roman" w:hAnsi="Arial" w:cs="Arial"/>
          <w:color w:val="525252"/>
          <w:lang w:val="en-GB" w:eastAsia="sk-SK"/>
        </w:rPr>
        <w:t xml:space="preserve">during the reference period. </w:t>
      </w:r>
      <w:r w:rsidR="00D3204F" w:rsidRPr="00D3204F">
        <w:rPr>
          <w:rFonts w:ascii="Arial" w:eastAsia="Times New Roman" w:hAnsi="Arial" w:cs="Arial"/>
          <w:color w:val="525252"/>
          <w:lang w:val="en-GB" w:eastAsia="sk-SK"/>
        </w:rPr>
        <w:t xml:space="preserve">Taking into account the periodic maintenance </w:t>
      </w:r>
      <w:r w:rsidR="00D3204F">
        <w:rPr>
          <w:rFonts w:ascii="Arial" w:eastAsia="Times New Roman" w:hAnsi="Arial" w:cs="Arial"/>
          <w:color w:val="525252"/>
          <w:lang w:val="en-GB" w:eastAsia="sk-SK"/>
        </w:rPr>
        <w:t>costs</w:t>
      </w:r>
      <w:r w:rsidR="00D3204F" w:rsidRPr="00D3204F">
        <w:rPr>
          <w:rFonts w:ascii="Arial" w:eastAsia="Times New Roman" w:hAnsi="Arial" w:cs="Arial"/>
          <w:color w:val="525252"/>
          <w:lang w:val="en-GB" w:eastAsia="sk-SK"/>
        </w:rPr>
        <w:t xml:space="preserve"> cycles, the start of the cycles in the </w:t>
      </w:r>
      <w:r w:rsidR="00D3204F">
        <w:rPr>
          <w:rFonts w:ascii="Arial" w:eastAsia="Times New Roman" w:hAnsi="Arial" w:cs="Arial"/>
          <w:color w:val="525252"/>
          <w:lang w:val="en-GB" w:eastAsia="sk-SK"/>
        </w:rPr>
        <w:t>situation With the Project</w:t>
      </w:r>
      <w:r w:rsidR="00D3204F" w:rsidRPr="00D3204F">
        <w:rPr>
          <w:rFonts w:ascii="Arial" w:eastAsia="Times New Roman" w:hAnsi="Arial" w:cs="Arial"/>
          <w:color w:val="525252"/>
          <w:lang w:val="en-GB" w:eastAsia="sk-SK"/>
        </w:rPr>
        <w:t xml:space="preserve"> was considered one year after the construction completion date.</w:t>
      </w:r>
      <w:r w:rsidR="00D3204F" w:rsidRPr="00D3204F">
        <w:t xml:space="preserve"> </w:t>
      </w:r>
      <w:r w:rsidR="00D3204F" w:rsidRPr="00D3204F">
        <w:rPr>
          <w:rFonts w:ascii="Arial" w:eastAsia="Times New Roman" w:hAnsi="Arial" w:cs="Arial"/>
          <w:color w:val="525252"/>
          <w:lang w:val="en-GB" w:eastAsia="sk-SK"/>
        </w:rPr>
        <w:t>According to the CBA Guide OPII, maintenance costs can be derived from surface areas of (main) infrastructure components, such as pavements, bridges</w:t>
      </w:r>
      <w:r w:rsidR="00D3204F">
        <w:rPr>
          <w:rFonts w:ascii="Arial" w:eastAsia="Times New Roman" w:hAnsi="Arial" w:cs="Arial"/>
          <w:color w:val="525252"/>
          <w:lang w:val="en-GB" w:eastAsia="sk-SK"/>
        </w:rPr>
        <w:t xml:space="preserve"> and</w:t>
      </w:r>
      <w:r w:rsidR="00D3204F" w:rsidRPr="00D3204F">
        <w:rPr>
          <w:rFonts w:ascii="Arial" w:eastAsia="Times New Roman" w:hAnsi="Arial" w:cs="Arial"/>
          <w:color w:val="525252"/>
          <w:lang w:val="en-GB" w:eastAsia="sk-SK"/>
        </w:rPr>
        <w:t xml:space="preserve"> tunnels. Unit costs of routine and periodic maintenance for roads and motorways are taken from the CBA Guide OPII and they were adjusted to the price level of 201</w:t>
      </w:r>
      <w:r w:rsidR="00D3204F">
        <w:rPr>
          <w:rFonts w:ascii="Arial" w:eastAsia="Times New Roman" w:hAnsi="Arial" w:cs="Arial"/>
          <w:color w:val="525252"/>
          <w:lang w:val="en-GB" w:eastAsia="sk-SK"/>
        </w:rPr>
        <w:t>8</w:t>
      </w:r>
      <w:r w:rsidR="00D3204F" w:rsidRPr="00D3204F">
        <w:rPr>
          <w:rFonts w:ascii="Arial" w:eastAsia="Times New Roman" w:hAnsi="Arial" w:cs="Arial"/>
          <w:color w:val="525252"/>
          <w:lang w:val="en-GB" w:eastAsia="sk-SK"/>
        </w:rPr>
        <w:t xml:space="preserve"> by inflation</w:t>
      </w:r>
      <w:r w:rsidR="00D3204F">
        <w:rPr>
          <w:rFonts w:ascii="Arial" w:eastAsia="Times New Roman" w:hAnsi="Arial" w:cs="Arial"/>
          <w:color w:val="525252"/>
          <w:lang w:val="en-GB" w:eastAsia="sk-SK"/>
        </w:rPr>
        <w:t>.</w:t>
      </w:r>
    </w:p>
    <w:p w:rsidR="00D3204F" w:rsidRDefault="00D3204F" w:rsidP="008D37BC">
      <w:pPr>
        <w:shd w:val="clear" w:color="auto" w:fill="FFFFFF"/>
        <w:jc w:val="both"/>
        <w:rPr>
          <w:rFonts w:ascii="Arial" w:eastAsia="Times New Roman" w:hAnsi="Arial" w:cs="Arial"/>
          <w:color w:val="525252"/>
          <w:lang w:val="en-GB" w:eastAsia="sk-SK"/>
        </w:rPr>
      </w:pPr>
      <w:r>
        <w:rPr>
          <w:rFonts w:ascii="Arial" w:eastAsia="Times New Roman" w:hAnsi="Arial" w:cs="Arial"/>
          <w:color w:val="525252"/>
          <w:lang w:val="en-GB" w:eastAsia="sk-SK"/>
        </w:rPr>
        <w:t>T</w:t>
      </w:r>
      <w:r w:rsidRPr="00D3204F">
        <w:rPr>
          <w:rFonts w:ascii="Arial" w:eastAsia="Times New Roman" w:hAnsi="Arial" w:cs="Arial"/>
          <w:color w:val="525252"/>
          <w:lang w:val="en-GB" w:eastAsia="sk-SK"/>
        </w:rPr>
        <w:t xml:space="preserve">he project generates revenues, </w:t>
      </w:r>
      <w:r>
        <w:rPr>
          <w:rFonts w:ascii="Arial" w:eastAsia="Times New Roman" w:hAnsi="Arial" w:cs="Arial"/>
          <w:color w:val="525252"/>
          <w:lang w:val="en-GB" w:eastAsia="sk-SK"/>
        </w:rPr>
        <w:t>but t</w:t>
      </w:r>
      <w:r w:rsidRPr="00D3204F">
        <w:rPr>
          <w:rFonts w:ascii="Arial" w:eastAsia="Times New Roman" w:hAnsi="Arial" w:cs="Arial"/>
          <w:color w:val="525252"/>
          <w:lang w:val="en-GB" w:eastAsia="sk-SK"/>
        </w:rPr>
        <w:t>he part of the project’s investment costs is not cover</w:t>
      </w:r>
      <w:r>
        <w:rPr>
          <w:rFonts w:ascii="Arial" w:eastAsia="Times New Roman" w:hAnsi="Arial" w:cs="Arial"/>
          <w:color w:val="525252"/>
          <w:lang w:val="en-GB" w:eastAsia="sk-SK"/>
        </w:rPr>
        <w:t>ed</w:t>
      </w:r>
      <w:r w:rsidRPr="00D3204F">
        <w:rPr>
          <w:rFonts w:ascii="Arial" w:eastAsia="Times New Roman" w:hAnsi="Arial" w:cs="Arial"/>
          <w:color w:val="525252"/>
          <w:lang w:val="en-GB" w:eastAsia="sk-SK"/>
        </w:rPr>
        <w:t xml:space="preserve"> from the revenues of the project. Due to this, additional financing is covered by community assistance. The value of EU grant is 85% of eligible costs. The remaining 15% of the eligible costs will be covered from the SR government budget contribution.  This information is shown in the following table.</w:t>
      </w:r>
    </w:p>
    <w:p w:rsidR="00D3204F" w:rsidRDefault="00D3204F" w:rsidP="008D37BC">
      <w:pPr>
        <w:shd w:val="clear" w:color="auto" w:fill="FFFFFF"/>
        <w:jc w:val="both"/>
        <w:rPr>
          <w:rFonts w:ascii="Arial" w:eastAsia="Times New Roman" w:hAnsi="Arial" w:cs="Arial"/>
          <w:color w:val="525252"/>
          <w:lang w:val="en-GB" w:eastAsia="sk-SK"/>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2410"/>
        <w:gridCol w:w="2409"/>
      </w:tblGrid>
      <w:tr w:rsidR="00D3204F" w:rsidRPr="00F6177A" w:rsidTr="00C2032E">
        <w:trPr>
          <w:trHeight w:val="276"/>
        </w:trPr>
        <w:tc>
          <w:tcPr>
            <w:tcW w:w="4258" w:type="dxa"/>
            <w:vMerge w:val="restart"/>
            <w:shd w:val="clear" w:color="000000" w:fill="7F7F7F"/>
            <w:vAlign w:val="center"/>
            <w:hideMark/>
          </w:tcPr>
          <w:p w:rsidR="00D3204F" w:rsidRPr="00F6177A" w:rsidRDefault="00D3204F" w:rsidP="00C2032E">
            <w:pPr>
              <w:jc w:val="center"/>
              <w:rPr>
                <w:rFonts w:ascii="Arial" w:eastAsia="Times New Roman" w:hAnsi="Arial" w:cs="Arial"/>
                <w:b/>
                <w:bCs/>
                <w:color w:val="FFFFFF"/>
                <w:sz w:val="20"/>
                <w:szCs w:val="20"/>
              </w:rPr>
            </w:pPr>
            <w:bookmarkStart w:id="3" w:name="RANGE!B22"/>
            <w:r w:rsidRPr="00F6177A">
              <w:rPr>
                <w:rFonts w:ascii="Arial" w:eastAsia="Times New Roman" w:hAnsi="Arial" w:cs="Arial"/>
                <w:b/>
                <w:bCs/>
                <w:color w:val="FFFFFF"/>
                <w:sz w:val="20"/>
                <w:szCs w:val="20"/>
              </w:rPr>
              <w:t> </w:t>
            </w:r>
            <w:bookmarkEnd w:id="3"/>
          </w:p>
        </w:tc>
        <w:tc>
          <w:tcPr>
            <w:tcW w:w="4819" w:type="dxa"/>
            <w:gridSpan w:val="2"/>
            <w:shd w:val="clear" w:color="000000" w:fill="7F7F7F"/>
            <w:vAlign w:val="center"/>
            <w:hideMark/>
          </w:tcPr>
          <w:p w:rsidR="00D3204F" w:rsidRPr="00F6177A" w:rsidRDefault="00D3204F" w:rsidP="00C2032E">
            <w:pPr>
              <w:jc w:val="center"/>
              <w:rPr>
                <w:rFonts w:ascii="Arial" w:eastAsia="Times New Roman" w:hAnsi="Arial" w:cs="Arial"/>
                <w:b/>
                <w:bCs/>
                <w:color w:val="FFFFFF"/>
                <w:sz w:val="20"/>
                <w:szCs w:val="20"/>
              </w:rPr>
            </w:pPr>
            <w:r w:rsidRPr="00F6177A">
              <w:rPr>
                <w:rFonts w:ascii="Arial" w:eastAsia="Times New Roman" w:hAnsi="Arial" w:cs="Arial"/>
                <w:b/>
                <w:bCs/>
                <w:color w:val="FFFFFF"/>
                <w:sz w:val="20"/>
                <w:szCs w:val="20"/>
              </w:rPr>
              <w:t>Aktuálna CBA</w:t>
            </w:r>
          </w:p>
        </w:tc>
      </w:tr>
      <w:tr w:rsidR="00D3204F" w:rsidRPr="00F6177A" w:rsidTr="00C2032E">
        <w:trPr>
          <w:trHeight w:val="314"/>
        </w:trPr>
        <w:tc>
          <w:tcPr>
            <w:tcW w:w="4258" w:type="dxa"/>
            <w:vMerge/>
            <w:vAlign w:val="center"/>
            <w:hideMark/>
          </w:tcPr>
          <w:p w:rsidR="00D3204F" w:rsidRPr="00F6177A" w:rsidRDefault="00D3204F" w:rsidP="00C2032E">
            <w:pPr>
              <w:rPr>
                <w:rFonts w:ascii="Arial" w:eastAsia="Times New Roman" w:hAnsi="Arial" w:cs="Arial"/>
                <w:b/>
                <w:bCs/>
                <w:color w:val="FFFFFF"/>
                <w:sz w:val="20"/>
                <w:szCs w:val="20"/>
              </w:rPr>
            </w:pPr>
          </w:p>
        </w:tc>
        <w:tc>
          <w:tcPr>
            <w:tcW w:w="2410" w:type="dxa"/>
            <w:shd w:val="clear" w:color="000000" w:fill="7F7F7F"/>
            <w:vAlign w:val="center"/>
            <w:hideMark/>
          </w:tcPr>
          <w:p w:rsidR="00D3204F" w:rsidRPr="00F6177A" w:rsidRDefault="00D3204F" w:rsidP="00C2032E">
            <w:pPr>
              <w:jc w:val="center"/>
              <w:rPr>
                <w:rFonts w:ascii="Arial" w:eastAsia="Times New Roman" w:hAnsi="Arial" w:cs="Arial"/>
                <w:b/>
                <w:bCs/>
                <w:color w:val="FFFFFF"/>
                <w:sz w:val="20"/>
                <w:szCs w:val="20"/>
              </w:rPr>
            </w:pPr>
            <w:proofErr w:type="spellStart"/>
            <w:r>
              <w:rPr>
                <w:rFonts w:ascii="Arial" w:eastAsia="Times New Roman" w:hAnsi="Arial" w:cs="Arial"/>
                <w:b/>
                <w:bCs/>
                <w:color w:val="FFFFFF"/>
                <w:sz w:val="20"/>
                <w:szCs w:val="20"/>
              </w:rPr>
              <w:t>Not-Discounted</w:t>
            </w:r>
            <w:proofErr w:type="spellEnd"/>
          </w:p>
        </w:tc>
        <w:tc>
          <w:tcPr>
            <w:tcW w:w="2409" w:type="dxa"/>
            <w:shd w:val="clear" w:color="000000" w:fill="7F7F7F"/>
            <w:vAlign w:val="center"/>
            <w:hideMark/>
          </w:tcPr>
          <w:p w:rsidR="00D3204F" w:rsidRPr="00F6177A" w:rsidRDefault="00D3204F" w:rsidP="00C2032E">
            <w:pPr>
              <w:jc w:val="center"/>
              <w:rPr>
                <w:rFonts w:ascii="Arial" w:eastAsia="Times New Roman" w:hAnsi="Arial" w:cs="Arial"/>
                <w:b/>
                <w:bCs/>
                <w:color w:val="FFFFFF"/>
                <w:sz w:val="20"/>
                <w:szCs w:val="20"/>
              </w:rPr>
            </w:pPr>
            <w:proofErr w:type="spellStart"/>
            <w:r>
              <w:rPr>
                <w:rFonts w:ascii="Arial" w:eastAsia="Times New Roman" w:hAnsi="Arial" w:cs="Arial"/>
                <w:b/>
                <w:bCs/>
                <w:color w:val="FFFFFF"/>
                <w:sz w:val="20"/>
                <w:szCs w:val="20"/>
              </w:rPr>
              <w:t>Discounted</w:t>
            </w:r>
            <w:proofErr w:type="spellEnd"/>
          </w:p>
        </w:tc>
      </w:tr>
      <w:tr w:rsidR="00D3204F" w:rsidRPr="00F6177A" w:rsidTr="00C2032E">
        <w:trPr>
          <w:trHeight w:val="276"/>
        </w:trPr>
        <w:tc>
          <w:tcPr>
            <w:tcW w:w="4258" w:type="dxa"/>
            <w:shd w:val="clear" w:color="auto" w:fill="auto"/>
            <w:vAlign w:val="center"/>
            <w:hideMark/>
          </w:tcPr>
          <w:p w:rsidR="00D3204F" w:rsidRPr="00F6177A" w:rsidRDefault="00D3204F" w:rsidP="00C2032E">
            <w:pPr>
              <w:rPr>
                <w:rFonts w:ascii="Arial" w:eastAsia="Times New Roman" w:hAnsi="Arial" w:cs="Arial"/>
                <w:color w:val="000000"/>
                <w:sz w:val="20"/>
                <w:szCs w:val="20"/>
              </w:rPr>
            </w:pPr>
            <w:proofErr w:type="spellStart"/>
            <w:r w:rsidRPr="00D3204F">
              <w:rPr>
                <w:rFonts w:ascii="Arial" w:eastAsia="Times New Roman" w:hAnsi="Arial" w:cs="Arial"/>
                <w:color w:val="000000"/>
                <w:sz w:val="20"/>
                <w:szCs w:val="20"/>
                <w:lang w:eastAsia="cs-CZ"/>
              </w:rPr>
              <w:t>Total</w:t>
            </w:r>
            <w:proofErr w:type="spellEnd"/>
            <w:r w:rsidRPr="00D3204F">
              <w:rPr>
                <w:rFonts w:ascii="Arial" w:eastAsia="Times New Roman" w:hAnsi="Arial" w:cs="Arial"/>
                <w:color w:val="000000"/>
                <w:sz w:val="20"/>
                <w:szCs w:val="20"/>
                <w:lang w:eastAsia="cs-CZ"/>
              </w:rPr>
              <w:t xml:space="preserve"> </w:t>
            </w:r>
            <w:proofErr w:type="spellStart"/>
            <w:r w:rsidRPr="00D3204F">
              <w:rPr>
                <w:rFonts w:ascii="Arial" w:eastAsia="Times New Roman" w:hAnsi="Arial" w:cs="Arial"/>
                <w:color w:val="000000"/>
                <w:sz w:val="20"/>
                <w:szCs w:val="20"/>
                <w:lang w:eastAsia="cs-CZ"/>
              </w:rPr>
              <w:t>investment</w:t>
            </w:r>
            <w:proofErr w:type="spellEnd"/>
            <w:r w:rsidRPr="00D3204F">
              <w:rPr>
                <w:rFonts w:ascii="Arial" w:eastAsia="Times New Roman" w:hAnsi="Arial" w:cs="Arial"/>
                <w:color w:val="000000"/>
                <w:sz w:val="20"/>
                <w:szCs w:val="20"/>
                <w:lang w:eastAsia="cs-CZ"/>
              </w:rPr>
              <w:t xml:space="preserve"> </w:t>
            </w:r>
            <w:proofErr w:type="spellStart"/>
            <w:r w:rsidRPr="00D3204F">
              <w:rPr>
                <w:rFonts w:ascii="Arial" w:eastAsia="Times New Roman" w:hAnsi="Arial" w:cs="Arial"/>
                <w:color w:val="000000"/>
                <w:sz w:val="20"/>
                <w:szCs w:val="20"/>
                <w:lang w:eastAsia="cs-CZ"/>
              </w:rPr>
              <w:t>costs</w:t>
            </w:r>
            <w:proofErr w:type="spellEnd"/>
          </w:p>
        </w:tc>
        <w:tc>
          <w:tcPr>
            <w:tcW w:w="2410" w:type="dxa"/>
            <w:shd w:val="clear" w:color="auto" w:fill="auto"/>
            <w:vAlign w:val="center"/>
            <w:hideMark/>
          </w:tcPr>
          <w:p w:rsidR="00D3204F" w:rsidRPr="00F6177A" w:rsidRDefault="00D3204F" w:rsidP="00C2032E">
            <w:pPr>
              <w:jc w:val="right"/>
              <w:rPr>
                <w:rFonts w:ascii="Arial" w:eastAsia="Times New Roman" w:hAnsi="Arial" w:cs="Arial"/>
                <w:color w:val="000000"/>
                <w:sz w:val="20"/>
                <w:szCs w:val="20"/>
              </w:rPr>
            </w:pPr>
            <w:r w:rsidRPr="00F6177A">
              <w:rPr>
                <w:rFonts w:ascii="Arial" w:hAnsi="Arial" w:cs="Arial"/>
                <w:sz w:val="20"/>
                <w:szCs w:val="20"/>
              </w:rPr>
              <w:t>381 286 821,41</w:t>
            </w:r>
          </w:p>
        </w:tc>
        <w:tc>
          <w:tcPr>
            <w:tcW w:w="2409" w:type="dxa"/>
            <w:shd w:val="clear" w:color="auto" w:fill="auto"/>
            <w:vAlign w:val="center"/>
            <w:hideMark/>
          </w:tcPr>
          <w:p w:rsidR="00D3204F" w:rsidRPr="00F6177A" w:rsidRDefault="00D3204F" w:rsidP="00C2032E">
            <w:pPr>
              <w:jc w:val="right"/>
              <w:rPr>
                <w:rFonts w:ascii="Arial" w:eastAsia="Times New Roman" w:hAnsi="Arial" w:cs="Arial"/>
                <w:color w:val="000000"/>
                <w:sz w:val="20"/>
                <w:szCs w:val="20"/>
              </w:rPr>
            </w:pPr>
            <w:r w:rsidRPr="00F6177A">
              <w:rPr>
                <w:rFonts w:ascii="Arial" w:hAnsi="Arial" w:cs="Arial"/>
                <w:sz w:val="20"/>
                <w:szCs w:val="20"/>
              </w:rPr>
              <w:t>343 447 529,90</w:t>
            </w:r>
          </w:p>
        </w:tc>
      </w:tr>
      <w:tr w:rsidR="00D3204F" w:rsidRPr="00F6177A" w:rsidTr="00C2032E">
        <w:trPr>
          <w:trHeight w:val="276"/>
        </w:trPr>
        <w:tc>
          <w:tcPr>
            <w:tcW w:w="4258" w:type="dxa"/>
            <w:shd w:val="clear" w:color="auto" w:fill="auto"/>
            <w:vAlign w:val="center"/>
            <w:hideMark/>
          </w:tcPr>
          <w:p w:rsidR="00D3204F" w:rsidRPr="00F6177A" w:rsidRDefault="00D3204F" w:rsidP="00C2032E">
            <w:pPr>
              <w:rPr>
                <w:rFonts w:ascii="Arial" w:eastAsia="Times New Roman" w:hAnsi="Arial" w:cs="Arial"/>
                <w:color w:val="000000"/>
                <w:sz w:val="20"/>
                <w:szCs w:val="20"/>
              </w:rPr>
            </w:pPr>
            <w:proofErr w:type="spellStart"/>
            <w:r w:rsidRPr="00D3204F">
              <w:rPr>
                <w:rFonts w:ascii="Arial" w:eastAsia="Times New Roman" w:hAnsi="Arial" w:cs="Arial"/>
                <w:color w:val="000000"/>
                <w:sz w:val="20"/>
                <w:szCs w:val="20"/>
                <w:lang w:eastAsia="cs-CZ"/>
              </w:rPr>
              <w:t>Residual</w:t>
            </w:r>
            <w:proofErr w:type="spellEnd"/>
            <w:r w:rsidRPr="00D3204F">
              <w:rPr>
                <w:rFonts w:ascii="Arial" w:eastAsia="Times New Roman" w:hAnsi="Arial" w:cs="Arial"/>
                <w:color w:val="000000"/>
                <w:sz w:val="20"/>
                <w:szCs w:val="20"/>
                <w:lang w:eastAsia="cs-CZ"/>
              </w:rPr>
              <w:t xml:space="preserve"> </w:t>
            </w:r>
            <w:proofErr w:type="spellStart"/>
            <w:r w:rsidRPr="00D3204F">
              <w:rPr>
                <w:rFonts w:ascii="Arial" w:eastAsia="Times New Roman" w:hAnsi="Arial" w:cs="Arial"/>
                <w:color w:val="000000"/>
                <w:sz w:val="20"/>
                <w:szCs w:val="20"/>
                <w:lang w:eastAsia="cs-CZ"/>
              </w:rPr>
              <w:t>value</w:t>
            </w:r>
            <w:proofErr w:type="spellEnd"/>
            <w:r w:rsidRPr="00D3204F">
              <w:rPr>
                <w:rFonts w:ascii="Arial" w:eastAsia="Times New Roman" w:hAnsi="Arial" w:cs="Arial"/>
                <w:color w:val="000000"/>
                <w:sz w:val="20"/>
                <w:szCs w:val="20"/>
                <w:lang w:eastAsia="cs-CZ"/>
              </w:rPr>
              <w:t xml:space="preserve"> (</w:t>
            </w:r>
            <w:proofErr w:type="spellStart"/>
            <w:r w:rsidRPr="00D3204F">
              <w:rPr>
                <w:rFonts w:ascii="Arial" w:eastAsia="Times New Roman" w:hAnsi="Arial" w:cs="Arial"/>
                <w:color w:val="000000"/>
                <w:sz w:val="20"/>
                <w:szCs w:val="20"/>
                <w:lang w:eastAsia="cs-CZ"/>
              </w:rPr>
              <w:t>financial</w:t>
            </w:r>
            <w:proofErr w:type="spellEnd"/>
            <w:r w:rsidRPr="00D3204F">
              <w:rPr>
                <w:rFonts w:ascii="Arial" w:eastAsia="Times New Roman" w:hAnsi="Arial" w:cs="Arial"/>
                <w:color w:val="000000"/>
                <w:sz w:val="20"/>
                <w:szCs w:val="20"/>
                <w:lang w:eastAsia="cs-CZ"/>
              </w:rPr>
              <w:t>)</w:t>
            </w:r>
          </w:p>
        </w:tc>
        <w:tc>
          <w:tcPr>
            <w:tcW w:w="2410" w:type="dxa"/>
            <w:shd w:val="clear" w:color="auto" w:fill="auto"/>
            <w:vAlign w:val="center"/>
            <w:hideMark/>
          </w:tcPr>
          <w:p w:rsidR="00D3204F" w:rsidRPr="00F6177A" w:rsidRDefault="00D3204F" w:rsidP="00C2032E">
            <w:pPr>
              <w:jc w:val="right"/>
              <w:rPr>
                <w:rFonts w:ascii="Arial" w:eastAsia="Times New Roman" w:hAnsi="Arial" w:cs="Arial"/>
                <w:color w:val="000000"/>
                <w:sz w:val="20"/>
                <w:szCs w:val="20"/>
              </w:rPr>
            </w:pPr>
            <w:r w:rsidRPr="00F6177A">
              <w:rPr>
                <w:rFonts w:ascii="Arial" w:hAnsi="Arial" w:cs="Arial"/>
                <w:sz w:val="20"/>
                <w:szCs w:val="20"/>
              </w:rPr>
              <w:t>125 143 732,29</w:t>
            </w:r>
          </w:p>
        </w:tc>
        <w:tc>
          <w:tcPr>
            <w:tcW w:w="2409" w:type="dxa"/>
            <w:shd w:val="clear" w:color="auto" w:fill="auto"/>
            <w:vAlign w:val="center"/>
            <w:hideMark/>
          </w:tcPr>
          <w:p w:rsidR="00D3204F" w:rsidRPr="00F6177A" w:rsidRDefault="00D3204F" w:rsidP="00C2032E">
            <w:pPr>
              <w:jc w:val="right"/>
              <w:rPr>
                <w:rFonts w:ascii="Arial" w:eastAsia="Times New Roman" w:hAnsi="Arial" w:cs="Arial"/>
                <w:color w:val="000000"/>
                <w:sz w:val="20"/>
                <w:szCs w:val="20"/>
              </w:rPr>
            </w:pPr>
            <w:r w:rsidRPr="00F6177A">
              <w:rPr>
                <w:rFonts w:ascii="Arial" w:hAnsi="Arial" w:cs="Arial"/>
                <w:sz w:val="20"/>
                <w:szCs w:val="20"/>
              </w:rPr>
              <w:t>40 127 514,80</w:t>
            </w:r>
          </w:p>
        </w:tc>
      </w:tr>
      <w:tr w:rsidR="00D3204F" w:rsidRPr="00F6177A" w:rsidTr="00C2032E">
        <w:trPr>
          <w:trHeight w:val="276"/>
        </w:trPr>
        <w:tc>
          <w:tcPr>
            <w:tcW w:w="4258" w:type="dxa"/>
            <w:shd w:val="clear" w:color="auto" w:fill="auto"/>
            <w:vAlign w:val="center"/>
            <w:hideMark/>
          </w:tcPr>
          <w:p w:rsidR="00D3204F" w:rsidRPr="00F6177A" w:rsidRDefault="002D3261" w:rsidP="00C2032E">
            <w:pPr>
              <w:rPr>
                <w:rFonts w:ascii="Arial" w:eastAsia="Times New Roman" w:hAnsi="Arial" w:cs="Arial"/>
                <w:color w:val="000000"/>
                <w:sz w:val="20"/>
                <w:szCs w:val="20"/>
              </w:rPr>
            </w:pPr>
            <w:proofErr w:type="spellStart"/>
            <w:r w:rsidRPr="002D3261">
              <w:rPr>
                <w:rFonts w:ascii="Arial" w:eastAsia="Times New Roman" w:hAnsi="Arial" w:cs="Arial"/>
                <w:color w:val="000000"/>
                <w:sz w:val="20"/>
                <w:szCs w:val="20"/>
                <w:lang w:eastAsia="cs-CZ"/>
              </w:rPr>
              <w:t>Revenues</w:t>
            </w:r>
            <w:proofErr w:type="spellEnd"/>
          </w:p>
        </w:tc>
        <w:tc>
          <w:tcPr>
            <w:tcW w:w="2410" w:type="dxa"/>
            <w:shd w:val="clear" w:color="auto" w:fill="auto"/>
            <w:vAlign w:val="center"/>
            <w:hideMark/>
          </w:tcPr>
          <w:p w:rsidR="00D3204F" w:rsidRPr="00F6177A" w:rsidRDefault="00D3204F" w:rsidP="00C2032E">
            <w:pPr>
              <w:jc w:val="right"/>
              <w:rPr>
                <w:rFonts w:ascii="Arial" w:eastAsia="Times New Roman" w:hAnsi="Arial" w:cs="Arial"/>
                <w:color w:val="000000"/>
                <w:sz w:val="20"/>
                <w:szCs w:val="20"/>
              </w:rPr>
            </w:pPr>
            <w:r w:rsidRPr="00F6177A">
              <w:rPr>
                <w:rFonts w:ascii="Arial" w:hAnsi="Arial" w:cs="Arial"/>
                <w:sz w:val="20"/>
                <w:szCs w:val="20"/>
              </w:rPr>
              <w:t> </w:t>
            </w:r>
          </w:p>
        </w:tc>
        <w:tc>
          <w:tcPr>
            <w:tcW w:w="2409" w:type="dxa"/>
            <w:shd w:val="clear" w:color="auto" w:fill="auto"/>
            <w:vAlign w:val="center"/>
            <w:hideMark/>
          </w:tcPr>
          <w:p w:rsidR="00D3204F" w:rsidRPr="00F6177A" w:rsidRDefault="00D3204F" w:rsidP="00C2032E">
            <w:pPr>
              <w:jc w:val="right"/>
              <w:rPr>
                <w:rFonts w:ascii="Arial" w:eastAsia="Times New Roman" w:hAnsi="Arial" w:cs="Arial"/>
                <w:color w:val="000000"/>
                <w:sz w:val="20"/>
                <w:szCs w:val="20"/>
              </w:rPr>
            </w:pPr>
            <w:r w:rsidRPr="00F6177A">
              <w:rPr>
                <w:rFonts w:ascii="Arial" w:hAnsi="Arial" w:cs="Arial"/>
                <w:sz w:val="20"/>
                <w:szCs w:val="20"/>
              </w:rPr>
              <w:t>-5 349 169,00</w:t>
            </w:r>
          </w:p>
        </w:tc>
      </w:tr>
      <w:tr w:rsidR="00D3204F" w:rsidRPr="00F6177A" w:rsidTr="00C2032E">
        <w:trPr>
          <w:trHeight w:val="276"/>
        </w:trPr>
        <w:tc>
          <w:tcPr>
            <w:tcW w:w="4258" w:type="dxa"/>
            <w:shd w:val="clear" w:color="auto" w:fill="auto"/>
            <w:vAlign w:val="center"/>
          </w:tcPr>
          <w:p w:rsidR="00D3204F" w:rsidRPr="00F6177A" w:rsidRDefault="002D3261" w:rsidP="00C2032E">
            <w:pPr>
              <w:rPr>
                <w:rFonts w:ascii="Arial" w:eastAsia="Times New Roman" w:hAnsi="Arial" w:cs="Arial"/>
                <w:color w:val="000000"/>
                <w:sz w:val="20"/>
                <w:szCs w:val="20"/>
                <w:lang w:eastAsia="cs-CZ"/>
              </w:rPr>
            </w:pPr>
            <w:proofErr w:type="spellStart"/>
            <w:r w:rsidRPr="002D3261">
              <w:rPr>
                <w:rFonts w:ascii="Arial" w:eastAsia="Times New Roman" w:hAnsi="Arial" w:cs="Arial"/>
                <w:color w:val="000000"/>
                <w:sz w:val="20"/>
                <w:szCs w:val="20"/>
                <w:lang w:eastAsia="cs-CZ"/>
              </w:rPr>
              <w:t>Operating</w:t>
            </w:r>
            <w:proofErr w:type="spellEnd"/>
            <w:r w:rsidRPr="002D3261">
              <w:rPr>
                <w:rFonts w:ascii="Arial" w:eastAsia="Times New Roman" w:hAnsi="Arial" w:cs="Arial"/>
                <w:color w:val="000000"/>
                <w:sz w:val="20"/>
                <w:szCs w:val="20"/>
                <w:lang w:eastAsia="cs-CZ"/>
              </w:rPr>
              <w:t xml:space="preserve"> and </w:t>
            </w:r>
            <w:proofErr w:type="spellStart"/>
            <w:r w:rsidRPr="002D3261">
              <w:rPr>
                <w:rFonts w:ascii="Arial" w:eastAsia="Times New Roman" w:hAnsi="Arial" w:cs="Arial"/>
                <w:color w:val="000000"/>
                <w:sz w:val="20"/>
                <w:szCs w:val="20"/>
                <w:lang w:eastAsia="cs-CZ"/>
              </w:rPr>
              <w:t>maintenance</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costs</w:t>
            </w:r>
            <w:proofErr w:type="spellEnd"/>
          </w:p>
        </w:tc>
        <w:tc>
          <w:tcPr>
            <w:tcW w:w="2410" w:type="dxa"/>
            <w:shd w:val="clear" w:color="auto" w:fill="auto"/>
            <w:vAlign w:val="center"/>
          </w:tcPr>
          <w:p w:rsidR="00D3204F" w:rsidRPr="00F6177A" w:rsidRDefault="00D3204F" w:rsidP="00C2032E">
            <w:pPr>
              <w:jc w:val="right"/>
              <w:rPr>
                <w:rFonts w:ascii="Arial" w:hAnsi="Arial" w:cs="Arial"/>
                <w:sz w:val="20"/>
                <w:szCs w:val="20"/>
              </w:rPr>
            </w:pPr>
          </w:p>
        </w:tc>
        <w:tc>
          <w:tcPr>
            <w:tcW w:w="2409" w:type="dxa"/>
            <w:shd w:val="clear" w:color="auto" w:fill="auto"/>
            <w:vAlign w:val="center"/>
          </w:tcPr>
          <w:p w:rsidR="00D3204F" w:rsidRPr="00F6177A" w:rsidRDefault="00D3204F" w:rsidP="00C2032E">
            <w:pPr>
              <w:jc w:val="right"/>
              <w:rPr>
                <w:rFonts w:ascii="Arial" w:hAnsi="Arial" w:cs="Arial"/>
                <w:sz w:val="20"/>
                <w:szCs w:val="20"/>
              </w:rPr>
            </w:pPr>
            <w:r w:rsidRPr="00F6177A">
              <w:rPr>
                <w:rFonts w:ascii="Arial" w:hAnsi="Arial" w:cs="Arial"/>
                <w:sz w:val="20"/>
                <w:szCs w:val="20"/>
              </w:rPr>
              <w:t>32 130 819,35</w:t>
            </w:r>
          </w:p>
        </w:tc>
      </w:tr>
      <w:tr w:rsidR="002D3261" w:rsidRPr="00F6177A" w:rsidTr="0072334C">
        <w:trPr>
          <w:trHeight w:val="492"/>
        </w:trPr>
        <w:tc>
          <w:tcPr>
            <w:tcW w:w="4258" w:type="dxa"/>
            <w:shd w:val="clear" w:color="auto" w:fill="auto"/>
            <w:hideMark/>
          </w:tcPr>
          <w:p w:rsidR="002D3261" w:rsidRPr="002D3261" w:rsidRDefault="002D3261" w:rsidP="002D3261">
            <w:pPr>
              <w:rPr>
                <w:rFonts w:ascii="Arial" w:eastAsia="Times New Roman" w:hAnsi="Arial" w:cs="Arial"/>
                <w:color w:val="000000"/>
                <w:sz w:val="20"/>
                <w:szCs w:val="20"/>
                <w:lang w:eastAsia="cs-CZ"/>
              </w:rPr>
            </w:pPr>
            <w:r w:rsidRPr="002D3261">
              <w:rPr>
                <w:rFonts w:ascii="Arial" w:eastAsia="Times New Roman" w:hAnsi="Arial" w:cs="Arial"/>
                <w:color w:val="000000"/>
                <w:sz w:val="20"/>
                <w:szCs w:val="20"/>
                <w:lang w:eastAsia="cs-CZ"/>
              </w:rPr>
              <w:t xml:space="preserve">Net </w:t>
            </w:r>
            <w:proofErr w:type="spellStart"/>
            <w:r w:rsidRPr="002D3261">
              <w:rPr>
                <w:rFonts w:ascii="Arial" w:eastAsia="Times New Roman" w:hAnsi="Arial" w:cs="Arial"/>
                <w:color w:val="000000"/>
                <w:sz w:val="20"/>
                <w:szCs w:val="20"/>
                <w:lang w:eastAsia="cs-CZ"/>
              </w:rPr>
              <w:t>revenues</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Revenues</w:t>
            </w:r>
            <w:proofErr w:type="spellEnd"/>
            <w:r>
              <w:rPr>
                <w:rFonts w:ascii="Arial" w:eastAsia="Times New Roman" w:hAnsi="Arial" w:cs="Arial"/>
                <w:color w:val="000000"/>
                <w:sz w:val="20"/>
                <w:szCs w:val="20"/>
                <w:lang w:eastAsia="cs-CZ"/>
              </w:rPr>
              <w:t xml:space="preserve"> - </w:t>
            </w:r>
            <w:proofErr w:type="spellStart"/>
            <w:r>
              <w:rPr>
                <w:rFonts w:ascii="Arial" w:eastAsia="Times New Roman" w:hAnsi="Arial" w:cs="Arial"/>
                <w:color w:val="000000"/>
                <w:sz w:val="20"/>
                <w:szCs w:val="20"/>
                <w:lang w:eastAsia="cs-CZ"/>
              </w:rPr>
              <w:t>Operating</w:t>
            </w:r>
            <w:proofErr w:type="spellEnd"/>
            <w:r>
              <w:rPr>
                <w:rFonts w:ascii="Arial" w:eastAsia="Times New Roman" w:hAnsi="Arial" w:cs="Arial"/>
                <w:color w:val="000000"/>
                <w:sz w:val="20"/>
                <w:szCs w:val="20"/>
                <w:lang w:eastAsia="cs-CZ"/>
              </w:rPr>
              <w:t xml:space="preserve"> and </w:t>
            </w:r>
            <w:proofErr w:type="spellStart"/>
            <w:r>
              <w:rPr>
                <w:rFonts w:ascii="Arial" w:eastAsia="Times New Roman" w:hAnsi="Arial" w:cs="Arial"/>
                <w:color w:val="000000"/>
                <w:sz w:val="20"/>
                <w:szCs w:val="20"/>
                <w:lang w:eastAsia="cs-CZ"/>
              </w:rPr>
              <w:t>maintenance</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costs</w:t>
            </w:r>
            <w:proofErr w:type="spellEnd"/>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val="en-GB" w:eastAsia="cs-CZ"/>
              </w:rPr>
              <w:t>+ Residual value</w:t>
            </w:r>
            <w:r>
              <w:rPr>
                <w:rFonts w:ascii="Arial" w:eastAsia="Times New Roman" w:hAnsi="Arial" w:cs="Arial"/>
                <w:color w:val="000000"/>
                <w:sz w:val="20"/>
                <w:szCs w:val="20"/>
                <w:lang w:eastAsia="cs-CZ"/>
              </w:rPr>
              <w:t>)</w:t>
            </w:r>
          </w:p>
        </w:tc>
        <w:tc>
          <w:tcPr>
            <w:tcW w:w="2410" w:type="dxa"/>
            <w:shd w:val="clear" w:color="auto" w:fill="auto"/>
            <w:vAlign w:val="center"/>
            <w:hideMark/>
          </w:tcPr>
          <w:p w:rsidR="002D3261" w:rsidRPr="00F6177A" w:rsidRDefault="002D3261" w:rsidP="002D3261">
            <w:pPr>
              <w:jc w:val="right"/>
              <w:rPr>
                <w:rFonts w:ascii="Arial" w:eastAsia="Times New Roman" w:hAnsi="Arial" w:cs="Arial"/>
                <w:color w:val="000000"/>
                <w:sz w:val="20"/>
                <w:szCs w:val="20"/>
              </w:rPr>
            </w:pPr>
            <w:r w:rsidRPr="00F6177A">
              <w:rPr>
                <w:rFonts w:ascii="Arial" w:hAnsi="Arial" w:cs="Arial"/>
                <w:sz w:val="20"/>
                <w:szCs w:val="20"/>
              </w:rPr>
              <w:t> </w:t>
            </w:r>
          </w:p>
        </w:tc>
        <w:tc>
          <w:tcPr>
            <w:tcW w:w="2409" w:type="dxa"/>
            <w:shd w:val="clear" w:color="auto" w:fill="auto"/>
            <w:vAlign w:val="center"/>
            <w:hideMark/>
          </w:tcPr>
          <w:p w:rsidR="002D3261" w:rsidRPr="00F6177A" w:rsidRDefault="002D3261" w:rsidP="002D3261">
            <w:pPr>
              <w:jc w:val="right"/>
              <w:rPr>
                <w:rFonts w:ascii="Arial" w:eastAsia="Times New Roman" w:hAnsi="Arial" w:cs="Arial"/>
                <w:color w:val="000000"/>
                <w:sz w:val="20"/>
                <w:szCs w:val="20"/>
              </w:rPr>
            </w:pPr>
            <w:r w:rsidRPr="00F6177A">
              <w:rPr>
                <w:rFonts w:ascii="Arial" w:hAnsi="Arial" w:cs="Arial"/>
                <w:sz w:val="20"/>
                <w:szCs w:val="20"/>
              </w:rPr>
              <w:t>2 647 526,45</w:t>
            </w:r>
          </w:p>
        </w:tc>
      </w:tr>
      <w:tr w:rsidR="002D3261" w:rsidRPr="00F6177A" w:rsidTr="0072334C">
        <w:trPr>
          <w:trHeight w:val="276"/>
        </w:trPr>
        <w:tc>
          <w:tcPr>
            <w:tcW w:w="4258" w:type="dxa"/>
            <w:shd w:val="clear" w:color="auto" w:fill="auto"/>
            <w:hideMark/>
          </w:tcPr>
          <w:p w:rsidR="002D3261" w:rsidRPr="002D3261" w:rsidRDefault="002D3261" w:rsidP="002D3261">
            <w:pPr>
              <w:rPr>
                <w:rFonts w:ascii="Arial" w:eastAsia="Times New Roman" w:hAnsi="Arial" w:cs="Arial"/>
                <w:color w:val="000000"/>
                <w:sz w:val="20"/>
                <w:szCs w:val="20"/>
                <w:lang w:eastAsia="cs-CZ"/>
              </w:rPr>
            </w:pPr>
            <w:r w:rsidRPr="002D3261">
              <w:rPr>
                <w:rFonts w:ascii="Arial" w:eastAsia="Times New Roman" w:hAnsi="Arial" w:cs="Arial"/>
                <w:color w:val="000000"/>
                <w:sz w:val="20"/>
                <w:szCs w:val="20"/>
                <w:lang w:eastAsia="cs-CZ"/>
              </w:rPr>
              <w:t xml:space="preserve">Net cash </w:t>
            </w:r>
            <w:proofErr w:type="spellStart"/>
            <w:r w:rsidRPr="002D3261">
              <w:rPr>
                <w:rFonts w:ascii="Arial" w:eastAsia="Times New Roman" w:hAnsi="Arial" w:cs="Arial"/>
                <w:color w:val="000000"/>
                <w:sz w:val="20"/>
                <w:szCs w:val="20"/>
                <w:lang w:eastAsia="cs-CZ"/>
              </w:rPr>
              <w:t>flow</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Total</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investment</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costs</w:t>
            </w:r>
            <w:proofErr w:type="spellEnd"/>
            <w:r w:rsidRPr="002D3261">
              <w:rPr>
                <w:rFonts w:ascii="Arial" w:eastAsia="Times New Roman" w:hAnsi="Arial" w:cs="Arial"/>
                <w:color w:val="000000"/>
                <w:sz w:val="20"/>
                <w:szCs w:val="20"/>
                <w:lang w:eastAsia="cs-CZ"/>
              </w:rPr>
              <w:t xml:space="preserve"> – Net </w:t>
            </w:r>
            <w:proofErr w:type="spellStart"/>
            <w:r w:rsidRPr="002D3261">
              <w:rPr>
                <w:rFonts w:ascii="Arial" w:eastAsia="Times New Roman" w:hAnsi="Arial" w:cs="Arial"/>
                <w:color w:val="000000"/>
                <w:sz w:val="20"/>
                <w:szCs w:val="20"/>
                <w:lang w:eastAsia="cs-CZ"/>
              </w:rPr>
              <w:t>revenues</w:t>
            </w:r>
            <w:proofErr w:type="spellEnd"/>
            <w:r w:rsidRPr="002D3261">
              <w:rPr>
                <w:rFonts w:ascii="Arial" w:eastAsia="Times New Roman" w:hAnsi="Arial" w:cs="Arial"/>
                <w:color w:val="000000"/>
                <w:sz w:val="20"/>
                <w:szCs w:val="20"/>
                <w:lang w:eastAsia="cs-CZ"/>
              </w:rPr>
              <w:t>)</w:t>
            </w:r>
          </w:p>
        </w:tc>
        <w:tc>
          <w:tcPr>
            <w:tcW w:w="2410" w:type="dxa"/>
            <w:shd w:val="clear" w:color="auto" w:fill="auto"/>
            <w:vAlign w:val="center"/>
            <w:hideMark/>
          </w:tcPr>
          <w:p w:rsidR="002D3261" w:rsidRPr="00F6177A" w:rsidRDefault="002D3261" w:rsidP="002D3261">
            <w:pPr>
              <w:jc w:val="right"/>
              <w:rPr>
                <w:rFonts w:ascii="Arial" w:eastAsia="Times New Roman" w:hAnsi="Arial" w:cs="Arial"/>
                <w:color w:val="000000"/>
                <w:sz w:val="20"/>
                <w:szCs w:val="20"/>
              </w:rPr>
            </w:pPr>
            <w:r w:rsidRPr="00F6177A">
              <w:rPr>
                <w:rFonts w:ascii="Arial" w:hAnsi="Arial" w:cs="Arial"/>
                <w:sz w:val="20"/>
                <w:szCs w:val="20"/>
              </w:rPr>
              <w:t> </w:t>
            </w:r>
          </w:p>
        </w:tc>
        <w:tc>
          <w:tcPr>
            <w:tcW w:w="2409" w:type="dxa"/>
            <w:shd w:val="clear" w:color="auto" w:fill="auto"/>
            <w:vAlign w:val="center"/>
            <w:hideMark/>
          </w:tcPr>
          <w:p w:rsidR="002D3261" w:rsidRPr="00F6177A" w:rsidRDefault="002D3261" w:rsidP="002D3261">
            <w:pPr>
              <w:jc w:val="right"/>
              <w:rPr>
                <w:rFonts w:ascii="Arial" w:eastAsia="Times New Roman" w:hAnsi="Arial" w:cs="Arial"/>
                <w:color w:val="000000"/>
                <w:sz w:val="20"/>
                <w:szCs w:val="20"/>
              </w:rPr>
            </w:pPr>
            <w:r w:rsidRPr="00F6177A">
              <w:rPr>
                <w:rFonts w:ascii="Arial" w:hAnsi="Arial" w:cs="Arial"/>
                <w:sz w:val="20"/>
                <w:szCs w:val="20"/>
              </w:rPr>
              <w:t>340 800 003,44</w:t>
            </w:r>
          </w:p>
        </w:tc>
      </w:tr>
      <w:tr w:rsidR="002D3261" w:rsidRPr="00F6177A" w:rsidTr="00C2032E">
        <w:trPr>
          <w:trHeight w:val="127"/>
        </w:trPr>
        <w:tc>
          <w:tcPr>
            <w:tcW w:w="4258" w:type="dxa"/>
            <w:shd w:val="clear" w:color="auto" w:fill="auto"/>
            <w:hideMark/>
          </w:tcPr>
          <w:p w:rsidR="002D3261" w:rsidRPr="002D3261" w:rsidRDefault="002D3261" w:rsidP="002D3261">
            <w:pPr>
              <w:rPr>
                <w:rFonts w:ascii="Arial" w:eastAsia="Times New Roman" w:hAnsi="Arial" w:cs="Arial"/>
                <w:color w:val="000000"/>
                <w:sz w:val="20"/>
                <w:szCs w:val="20"/>
                <w:lang w:eastAsia="cs-CZ"/>
              </w:rPr>
            </w:pPr>
            <w:proofErr w:type="spellStart"/>
            <w:r w:rsidRPr="002D3261">
              <w:rPr>
                <w:rFonts w:ascii="Arial" w:eastAsia="Times New Roman" w:hAnsi="Arial" w:cs="Arial"/>
                <w:color w:val="000000"/>
                <w:sz w:val="20"/>
                <w:szCs w:val="20"/>
                <w:lang w:eastAsia="cs-CZ"/>
              </w:rPr>
              <w:t>Funding</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gap</w:t>
            </w:r>
            <w:proofErr w:type="spellEnd"/>
            <w:r w:rsidRPr="002D3261">
              <w:rPr>
                <w:rFonts w:ascii="Arial" w:eastAsia="Times New Roman" w:hAnsi="Arial" w:cs="Arial"/>
                <w:color w:val="000000"/>
                <w:sz w:val="20"/>
                <w:szCs w:val="20"/>
                <w:lang w:eastAsia="cs-CZ"/>
              </w:rPr>
              <w:t xml:space="preserve"> (Net cash </w:t>
            </w:r>
            <w:proofErr w:type="spellStart"/>
            <w:r w:rsidRPr="002D3261">
              <w:rPr>
                <w:rFonts w:ascii="Arial" w:eastAsia="Times New Roman" w:hAnsi="Arial" w:cs="Arial"/>
                <w:color w:val="000000"/>
                <w:sz w:val="20"/>
                <w:szCs w:val="20"/>
                <w:lang w:eastAsia="cs-CZ"/>
              </w:rPr>
              <w:t>flow</w:t>
            </w:r>
            <w:proofErr w:type="spellEnd"/>
            <w:r w:rsidRPr="002D3261">
              <w:rPr>
                <w:rFonts w:ascii="Arial" w:eastAsia="Times New Roman" w:hAnsi="Arial" w:cs="Arial"/>
                <w:color w:val="000000"/>
                <w:sz w:val="20"/>
                <w:szCs w:val="20"/>
                <w:lang w:eastAsia="cs-CZ"/>
              </w:rPr>
              <w:t>/</w:t>
            </w:r>
            <w:proofErr w:type="spellStart"/>
            <w:r w:rsidRPr="002D3261">
              <w:rPr>
                <w:rFonts w:ascii="Arial" w:eastAsia="Times New Roman" w:hAnsi="Arial" w:cs="Arial"/>
                <w:color w:val="000000"/>
                <w:sz w:val="20"/>
                <w:szCs w:val="20"/>
                <w:lang w:eastAsia="cs-CZ"/>
              </w:rPr>
              <w:t>Total</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investment</w:t>
            </w:r>
            <w:proofErr w:type="spellEnd"/>
            <w:r w:rsidRPr="002D3261">
              <w:rPr>
                <w:rFonts w:ascii="Arial" w:eastAsia="Times New Roman" w:hAnsi="Arial" w:cs="Arial"/>
                <w:color w:val="000000"/>
                <w:sz w:val="20"/>
                <w:szCs w:val="20"/>
                <w:lang w:eastAsia="cs-CZ"/>
              </w:rPr>
              <w:t xml:space="preserve"> </w:t>
            </w:r>
            <w:proofErr w:type="spellStart"/>
            <w:r w:rsidRPr="002D3261">
              <w:rPr>
                <w:rFonts w:ascii="Arial" w:eastAsia="Times New Roman" w:hAnsi="Arial" w:cs="Arial"/>
                <w:color w:val="000000"/>
                <w:sz w:val="20"/>
                <w:szCs w:val="20"/>
                <w:lang w:eastAsia="cs-CZ"/>
              </w:rPr>
              <w:t>costs</w:t>
            </w:r>
            <w:proofErr w:type="spellEnd"/>
            <w:r w:rsidRPr="002D3261">
              <w:rPr>
                <w:rFonts w:ascii="Arial" w:eastAsia="Times New Roman" w:hAnsi="Arial" w:cs="Arial"/>
                <w:color w:val="000000"/>
                <w:sz w:val="20"/>
                <w:szCs w:val="20"/>
                <w:lang w:eastAsia="cs-CZ"/>
              </w:rPr>
              <w:t>)</w:t>
            </w:r>
          </w:p>
        </w:tc>
        <w:tc>
          <w:tcPr>
            <w:tcW w:w="2410" w:type="dxa"/>
            <w:shd w:val="clear" w:color="auto" w:fill="auto"/>
            <w:vAlign w:val="center"/>
            <w:hideMark/>
          </w:tcPr>
          <w:p w:rsidR="002D3261" w:rsidRPr="00F6177A" w:rsidRDefault="002D3261" w:rsidP="002D3261">
            <w:pPr>
              <w:jc w:val="right"/>
              <w:rPr>
                <w:rFonts w:ascii="Arial" w:eastAsia="Times New Roman" w:hAnsi="Arial" w:cs="Arial"/>
                <w:color w:val="000000"/>
                <w:sz w:val="20"/>
                <w:szCs w:val="20"/>
              </w:rPr>
            </w:pPr>
            <w:r w:rsidRPr="00F6177A">
              <w:rPr>
                <w:rFonts w:ascii="Arial" w:hAnsi="Arial" w:cs="Arial"/>
                <w:sz w:val="20"/>
                <w:szCs w:val="20"/>
              </w:rPr>
              <w:t> </w:t>
            </w:r>
          </w:p>
        </w:tc>
        <w:tc>
          <w:tcPr>
            <w:tcW w:w="2409" w:type="dxa"/>
            <w:shd w:val="clear" w:color="auto" w:fill="auto"/>
            <w:vAlign w:val="center"/>
            <w:hideMark/>
          </w:tcPr>
          <w:p w:rsidR="002D3261" w:rsidRPr="00F6177A" w:rsidRDefault="002D3261" w:rsidP="002D3261">
            <w:pPr>
              <w:jc w:val="right"/>
              <w:rPr>
                <w:rFonts w:ascii="Arial" w:eastAsia="Times New Roman" w:hAnsi="Arial" w:cs="Arial"/>
                <w:color w:val="000000"/>
                <w:sz w:val="20"/>
                <w:szCs w:val="20"/>
              </w:rPr>
            </w:pPr>
            <w:r w:rsidRPr="00F6177A">
              <w:rPr>
                <w:rFonts w:ascii="Arial" w:hAnsi="Arial" w:cs="Arial"/>
                <w:sz w:val="20"/>
                <w:szCs w:val="20"/>
              </w:rPr>
              <w:t>100%</w:t>
            </w:r>
          </w:p>
        </w:tc>
      </w:tr>
    </w:tbl>
    <w:p w:rsidR="00D3204F" w:rsidRDefault="00D3204F" w:rsidP="008D37BC">
      <w:pPr>
        <w:shd w:val="clear" w:color="auto" w:fill="FFFFFF"/>
        <w:jc w:val="both"/>
        <w:rPr>
          <w:rFonts w:ascii="Arial" w:eastAsia="Times New Roman" w:hAnsi="Arial" w:cs="Arial"/>
          <w:b/>
          <w:bCs/>
          <w:color w:val="525252"/>
          <w:lang w:val="en-GB" w:eastAsia="sk-SK"/>
        </w:rPr>
      </w:pPr>
    </w:p>
    <w:p w:rsidR="002D3261" w:rsidRDefault="002D3261" w:rsidP="002D3261">
      <w:pPr>
        <w:shd w:val="clear" w:color="auto" w:fill="FFFFFF"/>
        <w:rPr>
          <w:rFonts w:ascii="Arial" w:eastAsia="Times New Roman" w:hAnsi="Arial" w:cs="Arial"/>
          <w:b/>
          <w:bCs/>
          <w:color w:val="525252"/>
          <w:lang w:val="en-GB" w:eastAsia="sk-SK"/>
        </w:rPr>
      </w:pPr>
    </w:p>
    <w:p w:rsidR="002D3261" w:rsidRDefault="002D3261" w:rsidP="002D3261">
      <w:pPr>
        <w:shd w:val="clear" w:color="auto" w:fill="FFFFFF"/>
        <w:rPr>
          <w:rFonts w:ascii="Arial" w:eastAsia="Times New Roman" w:hAnsi="Arial" w:cs="Arial"/>
          <w:b/>
          <w:bCs/>
          <w:color w:val="525252"/>
          <w:lang w:val="en-GB" w:eastAsia="sk-SK"/>
        </w:rPr>
      </w:pPr>
    </w:p>
    <w:p w:rsidR="002D3261" w:rsidRDefault="002D3261" w:rsidP="002D3261">
      <w:pPr>
        <w:shd w:val="clear" w:color="auto" w:fill="FFFFFF"/>
        <w:rPr>
          <w:rFonts w:ascii="Arial" w:eastAsia="Times New Roman" w:hAnsi="Arial" w:cs="Arial"/>
          <w:b/>
          <w:bCs/>
          <w:color w:val="525252"/>
          <w:lang w:val="en-GB" w:eastAsia="sk-SK"/>
        </w:rPr>
      </w:pPr>
    </w:p>
    <w:p w:rsidR="008D37BC" w:rsidRPr="00C64894" w:rsidRDefault="00EF1102" w:rsidP="002D3261">
      <w:pPr>
        <w:shd w:val="clear" w:color="auto" w:fill="FFFFFF"/>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lastRenderedPageBreak/>
        <w:t>Final evaluation</w:t>
      </w:r>
    </w:p>
    <w:p w:rsidR="00EF1102" w:rsidRPr="00C64894" w:rsidRDefault="00EF1102" w:rsidP="00EF1102">
      <w:pPr>
        <w:shd w:val="clear" w:color="auto" w:fill="FFFFFF"/>
        <w:jc w:val="center"/>
        <w:rPr>
          <w:rFonts w:ascii="Arial" w:eastAsia="Times New Roman" w:hAnsi="Arial" w:cs="Arial"/>
          <w:color w:val="525252"/>
          <w:lang w:val="en-GB" w:eastAsia="sk-SK"/>
        </w:rPr>
      </w:pPr>
    </w:p>
    <w:p w:rsidR="00794BFF" w:rsidRPr="00C64894" w:rsidRDefault="00EF1102" w:rsidP="00EF1102">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CBA's retrospective assessment showed justification for funding the project from EU funds. The financial analysis has confirmed the assumption that the project is unable to fully cover the expenditure of its revenue, and therefore a financial contribution from the European Regional Development Fund is justified. </w:t>
      </w:r>
      <w:bookmarkStart w:id="4" w:name="_GoBack"/>
      <w:bookmarkEnd w:id="4"/>
    </w:p>
    <w:sectPr w:rsidR="00794BFF" w:rsidRPr="00C64894"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C"/>
    <w:rsid w:val="0000510D"/>
    <w:rsid w:val="00073400"/>
    <w:rsid w:val="000C0068"/>
    <w:rsid w:val="000D0C94"/>
    <w:rsid w:val="000E424E"/>
    <w:rsid w:val="000F0153"/>
    <w:rsid w:val="00153212"/>
    <w:rsid w:val="00270DD4"/>
    <w:rsid w:val="002D3261"/>
    <w:rsid w:val="002E5F22"/>
    <w:rsid w:val="00311FCE"/>
    <w:rsid w:val="00352C97"/>
    <w:rsid w:val="00505309"/>
    <w:rsid w:val="00556B7F"/>
    <w:rsid w:val="005B113A"/>
    <w:rsid w:val="00671A7E"/>
    <w:rsid w:val="006D7BD2"/>
    <w:rsid w:val="00713D63"/>
    <w:rsid w:val="00794BFF"/>
    <w:rsid w:val="007C1825"/>
    <w:rsid w:val="007D5560"/>
    <w:rsid w:val="00895386"/>
    <w:rsid w:val="008D37BC"/>
    <w:rsid w:val="00905DEE"/>
    <w:rsid w:val="00962B61"/>
    <w:rsid w:val="009D3619"/>
    <w:rsid w:val="00A801E0"/>
    <w:rsid w:val="00B02121"/>
    <w:rsid w:val="00B27FCF"/>
    <w:rsid w:val="00B80E2B"/>
    <w:rsid w:val="00C64894"/>
    <w:rsid w:val="00CF2E79"/>
    <w:rsid w:val="00D02579"/>
    <w:rsid w:val="00D11EEE"/>
    <w:rsid w:val="00D3204F"/>
    <w:rsid w:val="00DA60C7"/>
    <w:rsid w:val="00DD56BB"/>
    <w:rsid w:val="00ED1A08"/>
    <w:rsid w:val="00EF1102"/>
    <w:rsid w:val="00FB63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8E02"/>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D37B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8D37BC"/>
    <w:rPr>
      <w:b/>
      <w:bCs/>
    </w:rPr>
  </w:style>
  <w:style w:type="character" w:styleId="Zvraznenie">
    <w:name w:val="Emphasis"/>
    <w:basedOn w:val="Predvolenpsmoodseku"/>
    <w:uiPriority w:val="20"/>
    <w:qFormat/>
    <w:rsid w:val="008D37BC"/>
    <w:rPr>
      <w:i/>
      <w:iCs/>
    </w:rPr>
  </w:style>
  <w:style w:type="table" w:customStyle="1" w:styleId="Deloittetable2">
    <w:name w:val="Deloitte table 2"/>
    <w:basedOn w:val="Normlnatabuka"/>
    <w:rsid w:val="00D3204F"/>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TabText">
    <w:name w:val="TabText"/>
    <w:basedOn w:val="Normlny"/>
    <w:link w:val="TabTextChar"/>
    <w:qFormat/>
    <w:rsid w:val="00D3204F"/>
    <w:pPr>
      <w:jc w:val="right"/>
    </w:pPr>
    <w:rPr>
      <w:rFonts w:ascii="Arial Narrow" w:eastAsia="Times New Roman" w:hAnsi="Arial Narrow" w:cs="Arial"/>
      <w:sz w:val="20"/>
      <w:szCs w:val="22"/>
      <w:lang w:val="en-GB"/>
    </w:rPr>
  </w:style>
  <w:style w:type="character" w:customStyle="1" w:styleId="TabTextChar">
    <w:name w:val="TabText Char"/>
    <w:basedOn w:val="Predvolenpsmoodseku"/>
    <w:link w:val="TabText"/>
    <w:locked/>
    <w:rsid w:val="00D3204F"/>
    <w:rPr>
      <w:rFonts w:ascii="Arial Narrow" w:eastAsia="Times New Roman" w:hAnsi="Arial Narrow" w:cs="Arial"/>
      <w:sz w:val="20"/>
      <w:szCs w:val="22"/>
      <w:lang w:val="en-GB"/>
    </w:rPr>
  </w:style>
  <w:style w:type="paragraph" w:customStyle="1" w:styleId="TabHeading1">
    <w:name w:val="TabHeading1"/>
    <w:basedOn w:val="Normlny"/>
    <w:link w:val="TabHeading1Char"/>
    <w:qFormat/>
    <w:rsid w:val="00D3204F"/>
    <w:pPr>
      <w:spacing w:before="120" w:after="120"/>
    </w:pPr>
    <w:rPr>
      <w:rFonts w:ascii="Arial" w:eastAsia="Times New Roman" w:hAnsi="Arial" w:cs="Times New Roman"/>
      <w:b/>
      <w:color w:val="E7E6E6" w:themeColor="background2"/>
      <w:sz w:val="20"/>
      <w:szCs w:val="20"/>
      <w:lang w:val="cs-CZ"/>
    </w:rPr>
  </w:style>
  <w:style w:type="character" w:customStyle="1" w:styleId="TabHeading1Char">
    <w:name w:val="TabHeading1 Char"/>
    <w:basedOn w:val="Predvolenpsmoodseku"/>
    <w:link w:val="TabHeading1"/>
    <w:locked/>
    <w:rsid w:val="00D3204F"/>
    <w:rPr>
      <w:rFonts w:ascii="Arial" w:eastAsia="Times New Roman" w:hAnsi="Arial" w:cs="Times New Roman"/>
      <w:b/>
      <w:color w:val="E7E6E6" w:themeColor="background2"/>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630092873">
      <w:bodyDiv w:val="1"/>
      <w:marLeft w:val="0"/>
      <w:marRight w:val="0"/>
      <w:marTop w:val="0"/>
      <w:marBottom w:val="0"/>
      <w:divBdr>
        <w:top w:val="none" w:sz="0" w:space="0" w:color="auto"/>
        <w:left w:val="none" w:sz="0" w:space="0" w:color="auto"/>
        <w:bottom w:val="none" w:sz="0" w:space="0" w:color="auto"/>
        <w:right w:val="none" w:sz="0" w:space="0" w:color="auto"/>
      </w:divBdr>
    </w:div>
    <w:div w:id="1057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822</Words>
  <Characters>4690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Martina Krauspe</cp:lastModifiedBy>
  <cp:revision>14</cp:revision>
  <dcterms:created xsi:type="dcterms:W3CDTF">2019-06-04T11:52:00Z</dcterms:created>
  <dcterms:modified xsi:type="dcterms:W3CDTF">2019-07-24T11:27:00Z</dcterms:modified>
</cp:coreProperties>
</file>